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8C2739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8C2739" w:rsidRPr="008C2739">
        <w:rPr>
          <w:rFonts w:ascii="Times New Roman" w:hAnsi="Times New Roman" w:cs="Times New Roman"/>
        </w:rPr>
        <w:t>4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8C2739" w:rsidRPr="008C2739">
        <w:rPr>
          <w:rFonts w:ascii="Times New Roman" w:hAnsi="Times New Roman" w:cs="Times New Roman"/>
        </w:rPr>
        <w:t>07</w:t>
      </w:r>
      <w:r w:rsidR="004856E4">
        <w:rPr>
          <w:rFonts w:ascii="Times New Roman" w:hAnsi="Times New Roman" w:cs="Times New Roman"/>
        </w:rPr>
        <w:t>.</w:t>
      </w:r>
      <w:r w:rsidR="00962BAD" w:rsidRPr="00962BAD">
        <w:rPr>
          <w:rFonts w:ascii="Times New Roman" w:hAnsi="Times New Roman" w:cs="Times New Roman"/>
        </w:rPr>
        <w:t>0</w:t>
      </w:r>
      <w:r w:rsidR="008C2739" w:rsidRPr="008C2739">
        <w:rPr>
          <w:rFonts w:ascii="Times New Roman" w:hAnsi="Times New Roman" w:cs="Times New Roman"/>
        </w:rPr>
        <w:t>2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8C2739">
        <w:rPr>
          <w:rFonts w:ascii="Times New Roman" w:hAnsi="Times New Roman" w:cs="Times New Roman"/>
          <w:lang w:val="en-US"/>
        </w:rPr>
        <w:t>09</w:t>
      </w:r>
      <w:r w:rsidR="008C2739">
        <w:rPr>
          <w:rFonts w:ascii="Times New Roman" w:hAnsi="Times New Roman" w:cs="Times New Roman"/>
        </w:rPr>
        <w:t xml:space="preserve"> </w:t>
      </w:r>
      <w:proofErr w:type="spellStart"/>
      <w:r w:rsidR="008C2739">
        <w:rPr>
          <w:rFonts w:ascii="Times New Roman" w:hAnsi="Times New Roman" w:cs="Times New Roman"/>
          <w:lang w:val="en-US"/>
        </w:rPr>
        <w:t>феврал</w:t>
      </w:r>
      <w:proofErr w:type="spellEnd"/>
      <w:r w:rsidR="00A33339">
        <w:rPr>
          <w:rFonts w:ascii="Times New Roman" w:hAnsi="Times New Roman" w:cs="Times New Roman"/>
        </w:rPr>
        <w:t>я</w:t>
      </w:r>
      <w:r w:rsidR="00F712C8">
        <w:rPr>
          <w:rFonts w:ascii="Times New Roman" w:hAnsi="Times New Roman" w:cs="Times New Roman"/>
        </w:rPr>
        <w:t xml:space="preserve"> 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4856E4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tbl>
      <w:tblPr>
        <w:tblStyle w:val="a4"/>
        <w:tblW w:w="16018" w:type="dxa"/>
        <w:tblInd w:w="-176" w:type="dxa"/>
        <w:tblLayout w:type="fixed"/>
        <w:tblLook w:val="04A0"/>
      </w:tblPr>
      <w:tblGrid>
        <w:gridCol w:w="568"/>
        <w:gridCol w:w="2268"/>
        <w:gridCol w:w="5528"/>
        <w:gridCol w:w="992"/>
        <w:gridCol w:w="992"/>
        <w:gridCol w:w="993"/>
        <w:gridCol w:w="1417"/>
        <w:gridCol w:w="1276"/>
        <w:gridCol w:w="1984"/>
      </w:tblGrid>
      <w:tr w:rsidR="008C2739" w:rsidRPr="000B4558" w:rsidTr="008C2739">
        <w:tc>
          <w:tcPr>
            <w:tcW w:w="568" w:type="dxa"/>
          </w:tcPr>
          <w:p w:rsidR="008C2739" w:rsidRPr="000B4558" w:rsidRDefault="008C2739" w:rsidP="003323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:rsidR="008C2739" w:rsidRPr="000B4558" w:rsidRDefault="008C2739" w:rsidP="003323DF">
            <w:pPr>
              <w:rPr>
                <w:rFonts w:ascii="Times New Roman" w:hAnsi="Times New Roman" w:cs="Times New Roman"/>
              </w:rPr>
            </w:pPr>
            <w:r w:rsidRPr="000918BB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0918BB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0918BB">
              <w:rPr>
                <w:rFonts w:ascii="Times New Roman" w:hAnsi="Times New Roman" w:cs="Times New Roman"/>
              </w:rPr>
              <w:t xml:space="preserve"> наименование</w:t>
            </w:r>
            <w:r>
              <w:rPr>
                <w:rFonts w:ascii="Times New Roman" w:hAnsi="Times New Roman" w:cs="Times New Roman"/>
              </w:rPr>
              <w:t>, торговое наименование</w:t>
            </w:r>
          </w:p>
        </w:tc>
        <w:tc>
          <w:tcPr>
            <w:tcW w:w="5528" w:type="dxa"/>
          </w:tcPr>
          <w:p w:rsidR="008C2739" w:rsidRPr="000B4558" w:rsidRDefault="008C2739" w:rsidP="003323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</w:tcPr>
          <w:p w:rsidR="008C2739" w:rsidRPr="000B4558" w:rsidRDefault="008C2739" w:rsidP="003323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8C2739" w:rsidRPr="000B4558" w:rsidRDefault="008C2739" w:rsidP="003323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</w:tcPr>
          <w:p w:rsidR="008C2739" w:rsidRPr="000B4558" w:rsidRDefault="008C2739" w:rsidP="003323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7" w:type="dxa"/>
          </w:tcPr>
          <w:p w:rsidR="008C2739" w:rsidRPr="000B4558" w:rsidRDefault="008C2739" w:rsidP="003323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276" w:type="dxa"/>
          </w:tcPr>
          <w:p w:rsidR="008C2739" w:rsidRPr="000B4558" w:rsidRDefault="008C2739" w:rsidP="003323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1984" w:type="dxa"/>
          </w:tcPr>
          <w:p w:rsidR="008C2739" w:rsidRPr="000B4558" w:rsidRDefault="008C2739" w:rsidP="003323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8C2739" w:rsidRPr="000B4558" w:rsidTr="00681E39">
        <w:trPr>
          <w:trHeight w:val="3392"/>
        </w:trPr>
        <w:tc>
          <w:tcPr>
            <w:tcW w:w="568" w:type="dxa"/>
          </w:tcPr>
          <w:p w:rsidR="008C2739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C2739" w:rsidRPr="00C27E32" w:rsidRDefault="008C2739" w:rsidP="003323DF">
            <w:pPr>
              <w:rPr>
                <w:rFonts w:ascii="Times New Roman" w:hAnsi="Times New Roman" w:cs="Times New Roman"/>
              </w:rPr>
            </w:pPr>
            <w:r w:rsidRPr="00C27E32">
              <w:rPr>
                <w:rFonts w:ascii="Times New Roman" w:hAnsi="Times New Roman" w:cs="Times New Roman"/>
              </w:rPr>
              <w:t xml:space="preserve">Комплект реагентов для контроля качества </w:t>
            </w:r>
            <w:proofErr w:type="spellStart"/>
            <w:r w:rsidRPr="00C27E32">
              <w:rPr>
                <w:rFonts w:ascii="Times New Roman" w:hAnsi="Times New Roman" w:cs="Times New Roman"/>
              </w:rPr>
              <w:t>предстерилизационной</w:t>
            </w:r>
            <w:proofErr w:type="spellEnd"/>
            <w:r w:rsidRPr="00C27E32">
              <w:rPr>
                <w:rFonts w:ascii="Times New Roman" w:hAnsi="Times New Roman" w:cs="Times New Roman"/>
              </w:rPr>
              <w:t xml:space="preserve"> очистки медицинских изделий </w:t>
            </w:r>
            <w:proofErr w:type="spellStart"/>
            <w:r w:rsidRPr="00C27E32">
              <w:rPr>
                <w:rFonts w:ascii="Times New Roman" w:hAnsi="Times New Roman" w:cs="Times New Roman"/>
              </w:rPr>
              <w:t>Азопирам</w:t>
            </w:r>
            <w:proofErr w:type="spellEnd"/>
            <w:r w:rsidRPr="00C27E32">
              <w:rPr>
                <w:rFonts w:ascii="Times New Roman" w:hAnsi="Times New Roman" w:cs="Times New Roman"/>
              </w:rPr>
              <w:t xml:space="preserve">  жидкий</w:t>
            </w:r>
          </w:p>
        </w:tc>
        <w:tc>
          <w:tcPr>
            <w:tcW w:w="5528" w:type="dxa"/>
          </w:tcPr>
          <w:p w:rsidR="008C2739" w:rsidRPr="00681E39" w:rsidRDefault="008C2739" w:rsidP="003323DF">
            <w:pPr>
              <w:pStyle w:val="j15"/>
              <w:rPr>
                <w:sz w:val="22"/>
                <w:szCs w:val="22"/>
              </w:rPr>
            </w:pPr>
            <w:r w:rsidRPr="00C27E32">
              <w:t xml:space="preserve">Комплект реагентов для контроля качества </w:t>
            </w:r>
            <w:proofErr w:type="spellStart"/>
            <w:r w:rsidRPr="00C27E32">
              <w:t>предстерилизационной</w:t>
            </w:r>
            <w:proofErr w:type="spellEnd"/>
            <w:r w:rsidRPr="00C27E32">
              <w:t xml:space="preserve"> очистки медицинских изделий </w:t>
            </w:r>
            <w:proofErr w:type="spellStart"/>
            <w:r w:rsidRPr="00C27E32">
              <w:t>Азопирам</w:t>
            </w:r>
            <w:proofErr w:type="spellEnd"/>
            <w:r w:rsidRPr="00C27E32">
              <w:t>.</w:t>
            </w:r>
            <w:r w:rsidRPr="00C27E32">
              <w:rPr>
                <w:sz w:val="22"/>
                <w:szCs w:val="22"/>
              </w:rPr>
              <w:t xml:space="preserve">  Комплектация</w:t>
            </w:r>
            <w:proofErr w:type="gramStart"/>
            <w:r w:rsidRPr="00C27E32">
              <w:rPr>
                <w:sz w:val="22"/>
                <w:szCs w:val="22"/>
              </w:rPr>
              <w:t xml:space="preserve"> :</w:t>
            </w:r>
            <w:proofErr w:type="gramEnd"/>
            <w:r w:rsidRPr="00C27E32">
              <w:rPr>
                <w:sz w:val="22"/>
                <w:szCs w:val="22"/>
              </w:rPr>
              <w:t xml:space="preserve"> 1флакон по 90мл 10% спиртовой раствор амидопирина с стабилизатором, 1 флакон по 10 мл 3% спиртовой раствор анилина солянокислого с стабилизатором. </w:t>
            </w:r>
            <w:proofErr w:type="gramStart"/>
            <w:r w:rsidRPr="00C27E32">
              <w:rPr>
                <w:sz w:val="22"/>
                <w:szCs w:val="22"/>
              </w:rPr>
              <w:t>Набор реагентов предназначен для обнаружения остатков крови, следов ржавчины, стирального порошка с отбеливателями, окислителей (</w:t>
            </w:r>
            <w:proofErr w:type="spellStart"/>
            <w:r w:rsidRPr="00C27E32">
              <w:rPr>
                <w:sz w:val="22"/>
                <w:szCs w:val="22"/>
              </w:rPr>
              <w:t>хлоромина</w:t>
            </w:r>
            <w:proofErr w:type="spellEnd"/>
            <w:r w:rsidRPr="00C27E32">
              <w:rPr>
                <w:sz w:val="22"/>
                <w:szCs w:val="22"/>
              </w:rPr>
              <w:t xml:space="preserve">, хлорная известь и т.д.) </w:t>
            </w:r>
            <w:proofErr w:type="spellStart"/>
            <w:r w:rsidRPr="00C27E32">
              <w:rPr>
                <w:sz w:val="22"/>
                <w:szCs w:val="22"/>
              </w:rPr>
              <w:t>пероксида</w:t>
            </w:r>
            <w:proofErr w:type="spellEnd"/>
            <w:r w:rsidRPr="00C27E32">
              <w:rPr>
                <w:sz w:val="22"/>
                <w:szCs w:val="22"/>
              </w:rPr>
              <w:t xml:space="preserve"> растительного происхождения, которые могли остаться на подготовленных к стерилизации медицинских изделий в результате недостаточно тщательной </w:t>
            </w:r>
            <w:proofErr w:type="spellStart"/>
            <w:r w:rsidRPr="00C27E32">
              <w:rPr>
                <w:sz w:val="22"/>
                <w:szCs w:val="22"/>
              </w:rPr>
              <w:t>предстерилизационной</w:t>
            </w:r>
            <w:proofErr w:type="spellEnd"/>
            <w:r w:rsidRPr="00C27E32">
              <w:rPr>
                <w:sz w:val="22"/>
                <w:szCs w:val="22"/>
              </w:rPr>
              <w:t xml:space="preserve"> очистки. </w:t>
            </w:r>
            <w:proofErr w:type="gramEnd"/>
          </w:p>
        </w:tc>
        <w:tc>
          <w:tcPr>
            <w:tcW w:w="992" w:type="dxa"/>
          </w:tcPr>
          <w:p w:rsidR="008C2739" w:rsidRPr="001C2F0D" w:rsidRDefault="008C2739" w:rsidP="0033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C2739" w:rsidRPr="001C2F0D" w:rsidRDefault="008C2739" w:rsidP="0033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C2739" w:rsidRPr="00DA1217" w:rsidRDefault="008C2739" w:rsidP="0033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3175,0</w:t>
            </w:r>
          </w:p>
        </w:tc>
        <w:tc>
          <w:tcPr>
            <w:tcW w:w="1417" w:type="dxa"/>
          </w:tcPr>
          <w:p w:rsidR="008C2739" w:rsidRPr="001C2F0D" w:rsidRDefault="008C2739" w:rsidP="0033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19050</w:t>
            </w:r>
          </w:p>
        </w:tc>
        <w:tc>
          <w:tcPr>
            <w:tcW w:w="1276" w:type="dxa"/>
          </w:tcPr>
          <w:p w:rsidR="008C2739" w:rsidRPr="00B10716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</w:t>
            </w: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потребности заказчика</w:t>
            </w:r>
            <w:r w:rsidRPr="00B10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8C2739" w:rsidRPr="00B10716" w:rsidRDefault="008C2739" w:rsidP="003323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8C2739" w:rsidRPr="000B4558" w:rsidTr="008C2739">
        <w:tc>
          <w:tcPr>
            <w:tcW w:w="568" w:type="dxa"/>
          </w:tcPr>
          <w:p w:rsidR="008C2739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8C2739" w:rsidRPr="009E14E5" w:rsidRDefault="008C2739" w:rsidP="003323D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Мочеприемник</w:t>
            </w:r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стерильный</w:t>
            </w:r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однократного применения, мочеприемник прикроватный объемом 2000мл. </w:t>
            </w:r>
          </w:p>
        </w:tc>
        <w:tc>
          <w:tcPr>
            <w:tcW w:w="5528" w:type="dxa"/>
            <w:vAlign w:val="center"/>
          </w:tcPr>
          <w:p w:rsidR="008C2739" w:rsidRPr="009E14E5" w:rsidRDefault="008C2739" w:rsidP="003323DF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Мочеприемник имеет нанесенную на него градуировку мл. </w:t>
            </w:r>
            <w:proofErr w:type="gramStart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Прикроватный</w:t>
            </w:r>
            <w:proofErr w:type="gramEnd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оснащен кранами для слива мочи и трубкой с универсальной насадкой для любого типа уретрального катетера. Использованный материал: ПВХ, полипропилен. Стерилизация газом </w:t>
            </w:r>
            <w:proofErr w:type="gramStart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этилен оксидом</w:t>
            </w:r>
            <w:proofErr w:type="gramEnd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Срок годности: 5 лет.</w:t>
            </w:r>
          </w:p>
        </w:tc>
        <w:tc>
          <w:tcPr>
            <w:tcW w:w="992" w:type="dxa"/>
          </w:tcPr>
          <w:p w:rsidR="008C2739" w:rsidRDefault="008C2739" w:rsidP="0033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C2739" w:rsidRDefault="008C2739" w:rsidP="0033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8C2739" w:rsidRDefault="008C2739" w:rsidP="0033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</w:rPr>
              <w:t>197,36</w:t>
            </w:r>
          </w:p>
        </w:tc>
        <w:tc>
          <w:tcPr>
            <w:tcW w:w="1417" w:type="dxa"/>
          </w:tcPr>
          <w:p w:rsidR="008C2739" w:rsidRDefault="008C2739" w:rsidP="0033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6907,6</w:t>
            </w:r>
          </w:p>
        </w:tc>
        <w:tc>
          <w:tcPr>
            <w:tcW w:w="1276" w:type="dxa"/>
          </w:tcPr>
          <w:p w:rsidR="008C2739" w:rsidRPr="00B10716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</w:t>
            </w: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потребности заказчика</w:t>
            </w:r>
            <w:r w:rsidRPr="00B10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8C2739" w:rsidRPr="00B10716" w:rsidRDefault="008C2739" w:rsidP="003323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8C2739" w:rsidRPr="000B4558" w:rsidTr="008C2739">
        <w:tc>
          <w:tcPr>
            <w:tcW w:w="568" w:type="dxa"/>
          </w:tcPr>
          <w:p w:rsidR="008C2739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8C2739" w:rsidRPr="0025555B" w:rsidRDefault="008C2739" w:rsidP="003323DF">
            <w:pPr>
              <w:rPr>
                <w:rFonts w:ascii="Times New Roman" w:hAnsi="Times New Roman" w:cs="Times New Roman"/>
                <w:lang w:val="kk-KZ"/>
              </w:rPr>
            </w:pPr>
            <w:r w:rsidRPr="0025555B">
              <w:rPr>
                <w:rFonts w:ascii="Times New Roman" w:hAnsi="Times New Roman" w:cs="Times New Roman"/>
                <w:lang w:val="kk-KZ"/>
              </w:rPr>
              <w:t>Направляющий воздуховод № 4</w:t>
            </w:r>
            <w:r>
              <w:rPr>
                <w:rFonts w:ascii="Times New Roman" w:hAnsi="Times New Roman" w:cs="Times New Roman"/>
                <w:lang w:val="kk-KZ"/>
              </w:rPr>
              <w:t xml:space="preserve"> , </w:t>
            </w:r>
          </w:p>
        </w:tc>
        <w:tc>
          <w:tcPr>
            <w:tcW w:w="5528" w:type="dxa"/>
          </w:tcPr>
          <w:p w:rsidR="008C2739" w:rsidRPr="0025555B" w:rsidRDefault="008C2739" w:rsidP="003323DF">
            <w:pPr>
              <w:rPr>
                <w:rFonts w:ascii="Times New Roman" w:hAnsi="Times New Roman" w:cs="Times New Roman"/>
                <w:lang w:val="kk-KZ"/>
              </w:rPr>
            </w:pPr>
            <w:r w:rsidRPr="0025555B">
              <w:rPr>
                <w:rFonts w:ascii="Times New Roman" w:hAnsi="Times New Roman" w:cs="Times New Roman"/>
                <w:lang w:val="kk-KZ"/>
              </w:rPr>
              <w:t xml:space="preserve">Направляющий воздуховод № 4 размер 100 мм,  </w:t>
            </w:r>
            <w:r>
              <w:rPr>
                <w:rFonts w:ascii="Times New Roman" w:hAnsi="Times New Roman" w:cs="Times New Roman"/>
                <w:lang w:val="kk-KZ"/>
              </w:rPr>
              <w:t>стерильный однократного применения.</w:t>
            </w:r>
          </w:p>
        </w:tc>
        <w:tc>
          <w:tcPr>
            <w:tcW w:w="992" w:type="dxa"/>
          </w:tcPr>
          <w:p w:rsidR="008C2739" w:rsidRDefault="008C2739" w:rsidP="0033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C2739" w:rsidRDefault="008C2739" w:rsidP="0033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C2739" w:rsidRDefault="008C2739" w:rsidP="003323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1417" w:type="dxa"/>
          </w:tcPr>
          <w:p w:rsidR="008C2739" w:rsidRDefault="008C2739" w:rsidP="0033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276" w:type="dxa"/>
          </w:tcPr>
          <w:p w:rsidR="008C2739" w:rsidRPr="00B10716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</w:t>
            </w: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Pr="002555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потребности заказчика</w:t>
            </w:r>
            <w:r w:rsidRPr="00B10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8C2739" w:rsidRPr="00B10716" w:rsidRDefault="008C2739" w:rsidP="003323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lastRenderedPageBreak/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 xml:space="preserve">. Петропавловск, </w:t>
            </w:r>
            <w:r w:rsidRPr="00B10716">
              <w:rPr>
                <w:rFonts w:ascii="Times New Roman" w:hAnsi="Times New Roman" w:cs="Times New Roman"/>
              </w:rPr>
              <w:lastRenderedPageBreak/>
              <w:t>ул. Ульянова 98</w:t>
            </w:r>
          </w:p>
        </w:tc>
      </w:tr>
      <w:tr w:rsidR="008C2739" w:rsidRPr="000B4558" w:rsidTr="008C2739">
        <w:tc>
          <w:tcPr>
            <w:tcW w:w="568" w:type="dxa"/>
          </w:tcPr>
          <w:p w:rsidR="008C2739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</w:tcPr>
          <w:p w:rsidR="008C2739" w:rsidRPr="006E6E9B" w:rsidRDefault="008C2739" w:rsidP="003323DF">
            <w:pPr>
              <w:pStyle w:val="2"/>
              <w:ind w:left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</w:t>
            </w:r>
            <w:r w:rsidRPr="006E6E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дыхательный  электростатический</w:t>
            </w:r>
          </w:p>
          <w:p w:rsidR="008C2739" w:rsidRPr="0065133D" w:rsidRDefault="008C2739" w:rsidP="00332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C2739" w:rsidRPr="005F5EC9" w:rsidRDefault="008C2739" w:rsidP="003323DF">
            <w:pPr>
              <w:pStyle w:val="2"/>
              <w:ind w:left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</w:t>
            </w:r>
            <w:r w:rsidRPr="006E6E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дыхательный  электростатический с портом </w:t>
            </w:r>
            <w:proofErr w:type="spellStart"/>
            <w:r>
              <w:rPr>
                <w:sz w:val="22"/>
                <w:szCs w:val="22"/>
                <w:lang w:val="en-US"/>
              </w:rPr>
              <w:t>Luer</w:t>
            </w:r>
            <w:proofErr w:type="spellEnd"/>
            <w:r w:rsidRPr="005F5E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port</w:t>
            </w:r>
          </w:p>
          <w:p w:rsidR="008C2739" w:rsidRDefault="008C2739" w:rsidP="003323DF">
            <w:pPr>
              <w:pStyle w:val="2"/>
              <w:ind w:left="0"/>
              <w:outlineLvl w:val="1"/>
              <w:rPr>
                <w:sz w:val="22"/>
                <w:szCs w:val="22"/>
              </w:rPr>
            </w:pPr>
            <w:r w:rsidRPr="006E6E9B">
              <w:rPr>
                <w:sz w:val="22"/>
                <w:szCs w:val="22"/>
              </w:rPr>
              <w:t>Используется для фильтрации и увлажнения дыхательной газовой смеси при проведении ИВЛ во время анестезии или в отделении интенсивной терапии.</w:t>
            </w:r>
          </w:p>
          <w:p w:rsidR="008C2739" w:rsidRPr="006E6E9B" w:rsidRDefault="008C2739" w:rsidP="003323DF">
            <w:proofErr w:type="gramStart"/>
            <w:r w:rsidRPr="00D45794">
              <w:rPr>
                <w:rFonts w:ascii="Times New Roman" w:eastAsia="Times New Roman" w:hAnsi="Times New Roman" w:cs="Times New Roman"/>
              </w:rPr>
              <w:t>Изготовлен</w:t>
            </w:r>
            <w:proofErr w:type="gramEnd"/>
            <w:r w:rsidRPr="00D45794">
              <w:rPr>
                <w:rFonts w:ascii="Times New Roman" w:eastAsia="Times New Roman" w:hAnsi="Times New Roman" w:cs="Times New Roman"/>
              </w:rPr>
              <w:t xml:space="preserve"> в режиме "чистых помещений"</w:t>
            </w:r>
            <w:r>
              <w:t xml:space="preserve">, </w:t>
            </w:r>
            <w:r w:rsidRPr="00D45794">
              <w:rPr>
                <w:rFonts w:ascii="Times New Roman" w:eastAsia="Times New Roman" w:hAnsi="Times New Roman" w:cs="Times New Roman"/>
              </w:rPr>
              <w:t>Одноразовый</w:t>
            </w:r>
            <w:r>
              <w:t xml:space="preserve">, </w:t>
            </w:r>
            <w:r w:rsidRPr="00D45794">
              <w:rPr>
                <w:rFonts w:ascii="Times New Roman" w:eastAsia="Times New Roman" w:hAnsi="Times New Roman" w:cs="Times New Roman"/>
              </w:rPr>
              <w:t>Изготовлен из прозрачного ПВХ и полипропилена</w:t>
            </w:r>
            <w:r>
              <w:t xml:space="preserve">, </w:t>
            </w:r>
            <w:r w:rsidRPr="00D45794">
              <w:rPr>
                <w:rFonts w:ascii="Times New Roman" w:eastAsia="Times New Roman" w:hAnsi="Times New Roman" w:cs="Times New Roman"/>
              </w:rPr>
              <w:t>Низкое сопротивление потоку</w:t>
            </w:r>
            <w:r>
              <w:t xml:space="preserve">, </w:t>
            </w:r>
          </w:p>
          <w:p w:rsidR="008C2739" w:rsidRPr="009553D7" w:rsidRDefault="008C2739" w:rsidP="00332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739" w:rsidRDefault="008C2739" w:rsidP="0033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C2739" w:rsidRDefault="008C2739" w:rsidP="0033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8C2739" w:rsidRDefault="008C2739" w:rsidP="003323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1417" w:type="dxa"/>
          </w:tcPr>
          <w:p w:rsidR="008C2739" w:rsidRDefault="008C2739" w:rsidP="0033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38400</w:t>
            </w:r>
          </w:p>
        </w:tc>
        <w:tc>
          <w:tcPr>
            <w:tcW w:w="1276" w:type="dxa"/>
          </w:tcPr>
          <w:p w:rsidR="008C2739" w:rsidRPr="00B10716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</w:t>
            </w: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потребности заказчика</w:t>
            </w:r>
            <w:r w:rsidRPr="00B10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8C2739" w:rsidRPr="00B10716" w:rsidRDefault="008C2739" w:rsidP="003323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8C2739" w:rsidRPr="000B4558" w:rsidTr="008C2739">
        <w:tc>
          <w:tcPr>
            <w:tcW w:w="568" w:type="dxa"/>
          </w:tcPr>
          <w:p w:rsidR="008C2739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8C2739" w:rsidRPr="00DE68C7" w:rsidRDefault="008C2739" w:rsidP="003323DF">
            <w:pPr>
              <w:pStyle w:val="j15"/>
              <w:rPr>
                <w:sz w:val="22"/>
                <w:szCs w:val="22"/>
              </w:rPr>
            </w:pPr>
            <w:r w:rsidRPr="00DE68C7">
              <w:rPr>
                <w:sz w:val="22"/>
                <w:szCs w:val="22"/>
              </w:rPr>
              <w:t>Зонд желудочный СН 30</w:t>
            </w:r>
          </w:p>
        </w:tc>
        <w:tc>
          <w:tcPr>
            <w:tcW w:w="5528" w:type="dxa"/>
          </w:tcPr>
          <w:p w:rsidR="008C2739" w:rsidRPr="00DE68C7" w:rsidRDefault="008C2739" w:rsidP="003323DF">
            <w:pPr>
              <w:pStyle w:val="j15"/>
              <w:rPr>
                <w:rStyle w:val="s0"/>
                <w:sz w:val="22"/>
                <w:szCs w:val="22"/>
              </w:rPr>
            </w:pPr>
            <w:r w:rsidRPr="00DE68C7">
              <w:rPr>
                <w:rStyle w:val="s0"/>
                <w:sz w:val="22"/>
                <w:szCs w:val="22"/>
              </w:rPr>
              <w:t xml:space="preserve"> Размер СН 30,  длина 1000 -1100мм, стерильный, однократного применения,</w:t>
            </w:r>
            <w:r w:rsidRPr="00DE68C7">
              <w:rPr>
                <w:color w:val="000000"/>
                <w:sz w:val="22"/>
                <w:szCs w:val="22"/>
                <w:shd w:val="clear" w:color="auto" w:fill="FFFFFF"/>
              </w:rPr>
              <w:t xml:space="preserve"> предназначен для желудочного зондирования с лечебной или диагностической целью.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Неперегибаемый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, имеет</w:t>
            </w:r>
            <w:r w:rsidRPr="00DE68C7">
              <w:rPr>
                <w:color w:val="000000"/>
                <w:sz w:val="22"/>
                <w:szCs w:val="22"/>
                <w:shd w:val="clear" w:color="auto" w:fill="FFFFFF"/>
              </w:rPr>
              <w:t xml:space="preserve"> цветной ид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ентификационный код. Изготовлен  из эластичного ПВХ. Желудочный зонд имее</w:t>
            </w:r>
            <w:r w:rsidRPr="00DE68C7">
              <w:rPr>
                <w:color w:val="000000"/>
                <w:sz w:val="22"/>
                <w:szCs w:val="22"/>
                <w:shd w:val="clear" w:color="auto" w:fill="FFFFFF"/>
              </w:rPr>
              <w:t>т форму трубки круглого сечения. На одном конце трубки находится воронка, другой конец трубки полностью закрыт или оканчивается центральным отверстием. На боковой поверхнос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ти трубки имеются два отверстия</w:t>
            </w:r>
            <w:r w:rsidRPr="00DE68C7">
              <w:rPr>
                <w:color w:val="000000"/>
                <w:sz w:val="22"/>
                <w:szCs w:val="22"/>
                <w:shd w:val="clear" w:color="auto" w:fill="FFFFFF"/>
              </w:rPr>
              <w:t>. Срок годности 5 лет.</w:t>
            </w:r>
          </w:p>
        </w:tc>
        <w:tc>
          <w:tcPr>
            <w:tcW w:w="992" w:type="dxa"/>
          </w:tcPr>
          <w:p w:rsidR="008C2739" w:rsidRPr="0025555B" w:rsidRDefault="008C2739" w:rsidP="003323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5555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C2739" w:rsidRPr="0025555B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8C2739" w:rsidRPr="0025555B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417" w:type="dxa"/>
          </w:tcPr>
          <w:p w:rsidR="008C2739" w:rsidRPr="0025555B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276" w:type="dxa"/>
          </w:tcPr>
          <w:p w:rsidR="008C2739" w:rsidRPr="0025555B" w:rsidRDefault="008C2739" w:rsidP="003323DF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15 дней</w:t>
            </w:r>
          </w:p>
          <w:p w:rsidR="008C2739" w:rsidRPr="0025555B" w:rsidRDefault="008C2739" w:rsidP="0033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C2739" w:rsidRPr="0025555B" w:rsidRDefault="008C2739" w:rsidP="003323DF">
            <w:pPr>
              <w:rPr>
                <w:rFonts w:ascii="Times New Roman" w:hAnsi="Times New Roman" w:cs="Times New Roman"/>
              </w:rPr>
            </w:pPr>
            <w:proofErr w:type="spellStart"/>
            <w:r w:rsidRPr="0025555B">
              <w:rPr>
                <w:rFonts w:ascii="Times New Roman" w:hAnsi="Times New Roman" w:cs="Times New Roman"/>
              </w:rPr>
              <w:t>СКО</w:t>
            </w:r>
            <w:proofErr w:type="gramStart"/>
            <w:r w:rsidRPr="0025555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5555B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8C2739" w:rsidRPr="000B4558" w:rsidTr="008C2739">
        <w:tc>
          <w:tcPr>
            <w:tcW w:w="568" w:type="dxa"/>
          </w:tcPr>
          <w:p w:rsidR="008C2739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8C2739" w:rsidRPr="00241BA3" w:rsidRDefault="008C2739" w:rsidP="003323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Термоиндикатор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132 гр.</w:t>
            </w:r>
          </w:p>
        </w:tc>
        <w:tc>
          <w:tcPr>
            <w:tcW w:w="5528" w:type="dxa"/>
          </w:tcPr>
          <w:p w:rsidR="008C2739" w:rsidRPr="0098380D" w:rsidRDefault="008C2739" w:rsidP="003323DF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380D">
              <w:rPr>
                <w:rStyle w:val="j22"/>
                <w:rFonts w:ascii="Times New Roman" w:hAnsi="Times New Roman" w:cs="Times New Roman"/>
              </w:rPr>
              <w:t>Термоиндикаторы</w:t>
            </w:r>
            <w:proofErr w:type="spellEnd"/>
            <w:r w:rsidRPr="0098380D">
              <w:rPr>
                <w:rStyle w:val="j22"/>
                <w:rFonts w:ascii="Times New Roman" w:hAnsi="Times New Roman" w:cs="Times New Roman"/>
              </w:rPr>
              <w:t xml:space="preserve"> предназначены для контроля качества работы стерилизаторов при паровой и воздушной стерилизации </w:t>
            </w:r>
            <w:r w:rsidRPr="0098380D">
              <w:rPr>
                <w:rFonts w:ascii="Times New Roman" w:hAnsi="Times New Roman" w:cs="Times New Roman"/>
                <w:bCs/>
              </w:rPr>
              <w:t>132 гр</w:t>
            </w:r>
            <w:proofErr w:type="gramStart"/>
            <w:r w:rsidRPr="0098380D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98380D">
              <w:rPr>
                <w:rStyle w:val="j22"/>
                <w:rFonts w:ascii="Times New Roman" w:hAnsi="Times New Roman" w:cs="Times New Roman"/>
              </w:rPr>
              <w:t xml:space="preserve"> изделий медицинского назначения</w:t>
            </w:r>
            <w:r w:rsidRPr="0098380D">
              <w:rPr>
                <w:rFonts w:ascii="Times New Roman" w:hAnsi="Times New Roman" w:cs="Times New Roman"/>
                <w:bCs/>
              </w:rPr>
              <w:t xml:space="preserve"> Комплект на 500 тестов.</w:t>
            </w:r>
            <w:r w:rsidRPr="0098380D">
              <w:rPr>
                <w:rStyle w:val="j22"/>
                <w:rFonts w:ascii="Times New Roman" w:hAnsi="Times New Roman" w:cs="Times New Roman"/>
              </w:rPr>
              <w:t xml:space="preserve"> </w:t>
            </w:r>
            <w:proofErr w:type="spellStart"/>
            <w:r w:rsidRPr="0098380D">
              <w:rPr>
                <w:rStyle w:val="j22"/>
                <w:rFonts w:ascii="Times New Roman" w:hAnsi="Times New Roman" w:cs="Times New Roman"/>
              </w:rPr>
              <w:t>Термоиндикаторы</w:t>
            </w:r>
            <w:proofErr w:type="spellEnd"/>
            <w:r w:rsidRPr="0098380D">
              <w:rPr>
                <w:rStyle w:val="j22"/>
                <w:rFonts w:ascii="Times New Roman" w:hAnsi="Times New Roman" w:cs="Times New Roman"/>
              </w:rPr>
              <w:t xml:space="preserve"> выполнены в виде таблеток из термочувствительного вещества с добавлением химического красителя </w:t>
            </w:r>
            <w:proofErr w:type="gramStart"/>
            <w:r w:rsidRPr="0098380D">
              <w:rPr>
                <w:rStyle w:val="j22"/>
                <w:rFonts w:ascii="Times New Roman" w:hAnsi="Times New Roman" w:cs="Times New Roman"/>
              </w:rPr>
              <w:t>для</w:t>
            </w:r>
            <w:proofErr w:type="gramEnd"/>
            <w:r w:rsidRPr="0098380D">
              <w:rPr>
                <w:rStyle w:val="j22"/>
                <w:rFonts w:ascii="Times New Roman" w:hAnsi="Times New Roman" w:cs="Times New Roman"/>
              </w:rPr>
              <w:t xml:space="preserve"> </w:t>
            </w:r>
            <w:proofErr w:type="gramStart"/>
            <w:r w:rsidRPr="0098380D">
              <w:rPr>
                <w:rStyle w:val="j22"/>
                <w:rFonts w:ascii="Times New Roman" w:hAnsi="Times New Roman" w:cs="Times New Roman"/>
              </w:rPr>
              <w:t>их</w:t>
            </w:r>
            <w:proofErr w:type="gramEnd"/>
            <w:r w:rsidRPr="0098380D">
              <w:rPr>
                <w:rStyle w:val="j22"/>
                <w:rFonts w:ascii="Times New Roman" w:hAnsi="Times New Roman" w:cs="Times New Roman"/>
              </w:rPr>
              <w:t xml:space="preserve"> различая по предназначению и запаянных в прозрачную капсулу из полимерной плёнки.</w:t>
            </w:r>
            <w:r w:rsidRPr="0098380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80D">
              <w:rPr>
                <w:rFonts w:ascii="Times New Roman" w:hAnsi="Times New Roman" w:cs="Times New Roman"/>
                <w:bCs/>
                <w:color w:val="000000"/>
              </w:rPr>
              <w:t>Термоиндикаторы</w:t>
            </w:r>
            <w:proofErr w:type="spellEnd"/>
            <w:r w:rsidRPr="0098380D">
              <w:rPr>
                <w:rFonts w:ascii="Times New Roman" w:hAnsi="Times New Roman" w:cs="Times New Roman"/>
                <w:bCs/>
                <w:color w:val="000000"/>
              </w:rPr>
              <w:t xml:space="preserve"> закладываются </w:t>
            </w:r>
            <w:proofErr w:type="gramStart"/>
            <w:r w:rsidRPr="0098380D">
              <w:rPr>
                <w:rFonts w:ascii="Times New Roman" w:hAnsi="Times New Roman" w:cs="Times New Roman"/>
                <w:bCs/>
                <w:color w:val="000000"/>
              </w:rPr>
              <w:t>во</w:t>
            </w:r>
            <w:proofErr w:type="gramEnd"/>
            <w:r w:rsidRPr="0098380D">
              <w:rPr>
                <w:rFonts w:ascii="Times New Roman" w:hAnsi="Times New Roman" w:cs="Times New Roman"/>
                <w:bCs/>
                <w:color w:val="000000"/>
              </w:rPr>
              <w:t xml:space="preserve"> внутрь и снаружи </w:t>
            </w:r>
            <w:proofErr w:type="gramStart"/>
            <w:r w:rsidRPr="0098380D">
              <w:rPr>
                <w:rFonts w:ascii="Times New Roman" w:hAnsi="Times New Roman" w:cs="Times New Roman"/>
                <w:bCs/>
                <w:color w:val="000000"/>
              </w:rPr>
              <w:t>стерилизационных</w:t>
            </w:r>
            <w:proofErr w:type="gramEnd"/>
            <w:r w:rsidRPr="0098380D">
              <w:rPr>
                <w:rFonts w:ascii="Times New Roman" w:hAnsi="Times New Roman" w:cs="Times New Roman"/>
                <w:bCs/>
                <w:color w:val="000000"/>
              </w:rPr>
              <w:t xml:space="preserve"> упаковок, которые помещаются в сухожаровые и паровые стерилизаторы (автоклав). Температура индикации в среде чистого насыщенного пара 132</w:t>
            </w:r>
            <w:proofErr w:type="gramStart"/>
            <w:r w:rsidRPr="0098380D">
              <w:rPr>
                <w:rFonts w:ascii="Times New Roman" w:hAnsi="Times New Roman" w:cs="Times New Roman"/>
                <w:bCs/>
                <w:color w:val="000000"/>
              </w:rPr>
              <w:t>°С</w:t>
            </w:r>
            <w:proofErr w:type="gramEnd"/>
            <w:r w:rsidRPr="0098380D">
              <w:rPr>
                <w:rFonts w:ascii="Times New Roman" w:hAnsi="Times New Roman" w:cs="Times New Roman"/>
                <w:bCs/>
                <w:color w:val="000000"/>
              </w:rPr>
              <w:t xml:space="preserve"> при экспозиции 20 или 45 минут в зависимости от вида стерилизуемого материала. При достижении указанных параметров таблетка термочувствительного вещества расплавляется и теряет свою исходную геометрическую форму, что свидетельствует о срабатывании </w:t>
            </w:r>
            <w:proofErr w:type="spellStart"/>
            <w:r w:rsidRPr="0098380D">
              <w:rPr>
                <w:rFonts w:ascii="Times New Roman" w:hAnsi="Times New Roman" w:cs="Times New Roman"/>
                <w:bCs/>
                <w:color w:val="000000"/>
              </w:rPr>
              <w:t>термоиндикатора</w:t>
            </w:r>
            <w:proofErr w:type="spellEnd"/>
            <w:r w:rsidRPr="0098380D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98380D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Изменение геометрической формы и </w:t>
            </w:r>
            <w:proofErr w:type="spellStart"/>
            <w:r w:rsidRPr="0098380D">
              <w:rPr>
                <w:rFonts w:ascii="Times New Roman" w:hAnsi="Times New Roman" w:cs="Times New Roman"/>
                <w:bCs/>
                <w:color w:val="000000"/>
              </w:rPr>
              <w:t>расплыва</w:t>
            </w:r>
            <w:proofErr w:type="spellEnd"/>
            <w:r w:rsidRPr="0098380D">
              <w:rPr>
                <w:rFonts w:ascii="Times New Roman" w:hAnsi="Times New Roman" w:cs="Times New Roman"/>
                <w:bCs/>
                <w:color w:val="000000"/>
              </w:rPr>
              <w:t xml:space="preserve"> термочувствительного вещества в капсуле сравнивается с </w:t>
            </w:r>
            <w:proofErr w:type="spellStart"/>
            <w:r w:rsidRPr="0098380D">
              <w:rPr>
                <w:rFonts w:ascii="Times New Roman" w:hAnsi="Times New Roman" w:cs="Times New Roman"/>
                <w:bCs/>
                <w:color w:val="000000"/>
              </w:rPr>
              <w:t>эталоном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98380D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98380D">
              <w:rPr>
                <w:rFonts w:ascii="Times New Roman" w:hAnsi="Times New Roman" w:cs="Times New Roman"/>
                <w:bCs/>
                <w:color w:val="000000"/>
              </w:rPr>
              <w:t>рок</w:t>
            </w:r>
            <w:proofErr w:type="spellEnd"/>
            <w:r w:rsidRPr="0098380D">
              <w:rPr>
                <w:rFonts w:ascii="Times New Roman" w:hAnsi="Times New Roman" w:cs="Times New Roman"/>
                <w:bCs/>
                <w:color w:val="000000"/>
              </w:rPr>
              <w:t xml:space="preserve"> годности - 2 года.</w:t>
            </w:r>
          </w:p>
          <w:p w:rsidR="008C2739" w:rsidRPr="0098380D" w:rsidRDefault="008C2739" w:rsidP="003323DF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8C2739" w:rsidRDefault="008C2739" w:rsidP="003323DF">
            <w:pPr>
              <w:pStyle w:val="j13"/>
              <w:spacing w:after="0" w:afterAutospacing="0"/>
              <w:rPr>
                <w:rStyle w:val="j22"/>
              </w:rPr>
            </w:pPr>
          </w:p>
        </w:tc>
        <w:tc>
          <w:tcPr>
            <w:tcW w:w="992" w:type="dxa"/>
          </w:tcPr>
          <w:p w:rsidR="008C2739" w:rsidRPr="0025555B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992" w:type="dxa"/>
          </w:tcPr>
          <w:p w:rsidR="008C2739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8C2739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</w:t>
            </w:r>
          </w:p>
        </w:tc>
        <w:tc>
          <w:tcPr>
            <w:tcW w:w="1417" w:type="dxa"/>
          </w:tcPr>
          <w:p w:rsidR="008C2739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82800</w:t>
            </w:r>
          </w:p>
        </w:tc>
        <w:tc>
          <w:tcPr>
            <w:tcW w:w="1276" w:type="dxa"/>
          </w:tcPr>
          <w:p w:rsidR="008C2739" w:rsidRPr="00B10716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</w:t>
            </w: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потребности заказчика</w:t>
            </w:r>
            <w:r w:rsidRPr="00B10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8C2739" w:rsidRPr="00B10716" w:rsidRDefault="008C2739" w:rsidP="003323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8C2739" w:rsidRPr="000B4558" w:rsidTr="008C2739">
        <w:tc>
          <w:tcPr>
            <w:tcW w:w="568" w:type="dxa"/>
          </w:tcPr>
          <w:p w:rsidR="008C2739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</w:tcPr>
          <w:p w:rsidR="008C2739" w:rsidRPr="0025555B" w:rsidRDefault="008C2739" w:rsidP="00332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Бумага диаграммная  57*18*12 нар.</w:t>
            </w:r>
          </w:p>
        </w:tc>
        <w:tc>
          <w:tcPr>
            <w:tcW w:w="5528" w:type="dxa"/>
          </w:tcPr>
          <w:p w:rsidR="008C2739" w:rsidRPr="0025555B" w:rsidRDefault="008C2739" w:rsidP="003323DF">
            <w:pPr>
              <w:pStyle w:val="j13"/>
              <w:rPr>
                <w:rStyle w:val="s0"/>
                <w:sz w:val="20"/>
                <w:szCs w:val="20"/>
              </w:rPr>
            </w:pPr>
            <w:r w:rsidRPr="0025555B">
              <w:rPr>
                <w:sz w:val="20"/>
                <w:szCs w:val="20"/>
              </w:rPr>
              <w:t>Бумага диаграммная  57*18*12 нар</w:t>
            </w:r>
            <w:proofErr w:type="gramStart"/>
            <w:r w:rsidRPr="0025555B">
              <w:rPr>
                <w:sz w:val="20"/>
                <w:szCs w:val="20"/>
              </w:rPr>
              <w:t xml:space="preserve">., </w:t>
            </w:r>
            <w:proofErr w:type="gramEnd"/>
            <w:r w:rsidRPr="0025555B">
              <w:rPr>
                <w:sz w:val="20"/>
                <w:szCs w:val="20"/>
              </w:rPr>
              <w:t xml:space="preserve">для аппарата </w:t>
            </w:r>
            <w:r w:rsidRPr="0025555B">
              <w:rPr>
                <w:sz w:val="20"/>
                <w:szCs w:val="20"/>
                <w:lang w:val="en-US"/>
              </w:rPr>
              <w:t>Heart</w:t>
            </w:r>
            <w:r w:rsidRPr="0025555B">
              <w:rPr>
                <w:sz w:val="20"/>
                <w:szCs w:val="20"/>
              </w:rPr>
              <w:t xml:space="preserve"> </w:t>
            </w:r>
            <w:r w:rsidRPr="0025555B">
              <w:rPr>
                <w:sz w:val="20"/>
                <w:szCs w:val="20"/>
                <w:lang w:val="en-US"/>
              </w:rPr>
              <w:t>mirror</w:t>
            </w:r>
            <w:r w:rsidRPr="0025555B">
              <w:rPr>
                <w:sz w:val="20"/>
                <w:szCs w:val="20"/>
              </w:rPr>
              <w:t xml:space="preserve"> 3</w:t>
            </w:r>
            <w:r w:rsidRPr="0025555B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92" w:type="dxa"/>
          </w:tcPr>
          <w:p w:rsidR="008C2739" w:rsidRDefault="008C2739" w:rsidP="003323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C2739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8C2739" w:rsidRPr="005D19F1" w:rsidRDefault="008C2739" w:rsidP="003323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240,0</w:t>
            </w:r>
          </w:p>
        </w:tc>
        <w:tc>
          <w:tcPr>
            <w:tcW w:w="1417" w:type="dxa"/>
          </w:tcPr>
          <w:p w:rsidR="008C2739" w:rsidRPr="001C373D" w:rsidRDefault="008C2739" w:rsidP="003323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96000</w:t>
            </w:r>
          </w:p>
        </w:tc>
        <w:tc>
          <w:tcPr>
            <w:tcW w:w="1276" w:type="dxa"/>
          </w:tcPr>
          <w:p w:rsidR="008C2739" w:rsidRPr="0025555B" w:rsidRDefault="008C2739" w:rsidP="0033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</w:t>
            </w: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потребности заказчика</w:t>
            </w:r>
            <w:r w:rsidRPr="00B10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8C2739" w:rsidRPr="0025555B" w:rsidRDefault="008C2739" w:rsidP="003323DF">
            <w:pPr>
              <w:rPr>
                <w:rFonts w:ascii="Times New Roman" w:hAnsi="Times New Roman" w:cs="Times New Roman"/>
              </w:rPr>
            </w:pPr>
            <w:proofErr w:type="spellStart"/>
            <w:r w:rsidRPr="0025555B">
              <w:rPr>
                <w:rFonts w:ascii="Times New Roman" w:hAnsi="Times New Roman" w:cs="Times New Roman"/>
              </w:rPr>
              <w:t>СКО</w:t>
            </w:r>
            <w:proofErr w:type="gramStart"/>
            <w:r w:rsidRPr="0025555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5555B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D5162D" w:rsidRPr="00681E39" w:rsidRDefault="00D5162D" w:rsidP="004856E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5560"/>
        <w:gridCol w:w="4595"/>
        <w:gridCol w:w="1835"/>
        <w:gridCol w:w="1757"/>
      </w:tblGrid>
      <w:tr w:rsidR="002A1D65" w:rsidTr="00611E2B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31159A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31159A" w:rsidRDefault="00D77E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Pr="0031159A" w:rsidRDefault="00474292" w:rsidP="0047429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ТОО «АРША» 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4D" w:rsidRPr="00474292" w:rsidRDefault="00474292" w:rsidP="003115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Акмолинская область, г Кокшетау, мкр Васильковский,12 «а»,тел 8/7162-72-31-82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474292" w:rsidRDefault="00474292" w:rsidP="00E409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06.02.2023г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Default="00474292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час, 30 минут</w:t>
            </w:r>
          </w:p>
        </w:tc>
      </w:tr>
      <w:tr w:rsidR="00474292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«Альянс»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3115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ВКО, г.Усть-каменогорск, ул.Красина,12/2, тел: 36-06-21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E409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06.02.2023г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час. 53 мин</w:t>
            </w:r>
          </w:p>
        </w:tc>
      </w:tr>
      <w:tr w:rsidR="00474292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«ДиАКиТ»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3115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г.Караганда, 19 мкр, дом,40 «а»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E409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07.02.2023г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 час. 56 мин</w:t>
            </w:r>
          </w:p>
        </w:tc>
      </w:tr>
      <w:tr w:rsidR="00474292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«РосФарма»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3115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 Астана, пер Шынтас,2/1, тел 8/7710832676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E409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07.02.2023г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час 47 мин</w:t>
            </w:r>
          </w:p>
        </w:tc>
      </w:tr>
      <w:tr w:rsidR="00474292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Степанова 85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3115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 Петропавловск, ул.Назарбаева,163-87, тел 87775464349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E409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07.02.2023г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час 53 мин</w:t>
            </w:r>
          </w:p>
        </w:tc>
      </w:tr>
      <w:tr w:rsidR="00474292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«Теникс-СК»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3115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 Петропавловск, ул.Жамбыла,249, тел.8/7152-42-54-97, вн 205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E409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07.02.2023г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час 31 мин</w:t>
            </w:r>
          </w:p>
        </w:tc>
      </w:tr>
    </w:tbl>
    <w:p w:rsidR="002A1D65" w:rsidRDefault="002A1D65" w:rsidP="001C34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8C2739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BAD">
        <w:rPr>
          <w:rFonts w:ascii="Times New Roman" w:hAnsi="Times New Roman" w:cs="Times New Roman"/>
          <w:sz w:val="24"/>
          <w:szCs w:val="24"/>
        </w:rPr>
        <w:t>0</w:t>
      </w:r>
      <w:r w:rsidR="008C2739">
        <w:rPr>
          <w:rFonts w:ascii="Times New Roman" w:hAnsi="Times New Roman" w:cs="Times New Roman"/>
          <w:sz w:val="24"/>
          <w:szCs w:val="24"/>
        </w:rPr>
        <w:t>2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962B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044E39" w:rsidRPr="00044E39" w:rsidRDefault="00044E39" w:rsidP="001C34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Таблица цен:</w:t>
      </w:r>
    </w:p>
    <w:tbl>
      <w:tblPr>
        <w:tblStyle w:val="a4"/>
        <w:tblW w:w="0" w:type="auto"/>
        <w:tblLook w:val="04A0"/>
      </w:tblPr>
      <w:tblGrid>
        <w:gridCol w:w="675"/>
        <w:gridCol w:w="1134"/>
        <w:gridCol w:w="1134"/>
        <w:gridCol w:w="1134"/>
        <w:gridCol w:w="1134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636C49" w:rsidRPr="0031159A" w:rsidTr="008E7A2A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лота</w:t>
            </w:r>
          </w:p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36C49" w:rsidRPr="0031159A" w:rsidRDefault="00636C49" w:rsidP="00CD4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ТОО «АРША»; </w:t>
            </w:r>
          </w:p>
        </w:tc>
        <w:tc>
          <w:tcPr>
            <w:tcW w:w="2268" w:type="dxa"/>
            <w:gridSpan w:val="2"/>
          </w:tcPr>
          <w:p w:rsidR="00636C49" w:rsidRPr="00044E3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«Альянс»</w:t>
            </w:r>
          </w:p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:rsidR="00636C49" w:rsidRDefault="00636C49" w:rsidP="00CD4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«ДиАКиТ»</w:t>
            </w:r>
          </w:p>
        </w:tc>
        <w:tc>
          <w:tcPr>
            <w:tcW w:w="2320" w:type="dxa"/>
            <w:gridSpan w:val="2"/>
          </w:tcPr>
          <w:p w:rsidR="00636C49" w:rsidRDefault="00636C49" w:rsidP="00CD4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«РосФарма»</w:t>
            </w:r>
          </w:p>
        </w:tc>
        <w:tc>
          <w:tcPr>
            <w:tcW w:w="2320" w:type="dxa"/>
            <w:gridSpan w:val="2"/>
          </w:tcPr>
          <w:p w:rsidR="00636C49" w:rsidRDefault="00636C49" w:rsidP="00CD4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Степанова 85</w:t>
            </w:r>
          </w:p>
        </w:tc>
        <w:tc>
          <w:tcPr>
            <w:tcW w:w="2320" w:type="dxa"/>
            <w:gridSpan w:val="2"/>
          </w:tcPr>
          <w:p w:rsidR="00636C49" w:rsidRDefault="00636C49" w:rsidP="00CD4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«Теникс-СК»</w:t>
            </w:r>
          </w:p>
        </w:tc>
      </w:tr>
      <w:tr w:rsidR="00636C49" w:rsidRPr="00076724" w:rsidTr="00CF3B9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1134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36C49" w:rsidRPr="00076724" w:rsidRDefault="00636C49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  <w:vAlign w:val="center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  <w:vAlign w:val="center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  <w:vAlign w:val="center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  <w:vAlign w:val="center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</w:t>
            </w:r>
          </w:p>
        </w:tc>
      </w:tr>
      <w:tr w:rsidR="00636C49" w:rsidRPr="00076724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C49" w:rsidRPr="008875EB" w:rsidRDefault="00636C49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636C49" w:rsidRPr="001C2F0D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:rsidR="00636C49" w:rsidRPr="001C2F0D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36C49" w:rsidRPr="00636C49" w:rsidRDefault="00636C49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Pr="001C2F0D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3175,00</w:t>
            </w:r>
          </w:p>
        </w:tc>
        <w:tc>
          <w:tcPr>
            <w:tcW w:w="1160" w:type="dxa"/>
          </w:tcPr>
          <w:p w:rsidR="00636C49" w:rsidRPr="001C2F0D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Pr="001C2F0D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Pr="001C2F0D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36C49" w:rsidRPr="00076724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C49" w:rsidRPr="000246EF" w:rsidRDefault="00636C49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36C49" w:rsidRPr="00636C49" w:rsidRDefault="00636C49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145,00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36C49" w:rsidRPr="00CB1247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C49" w:rsidRPr="000246EF" w:rsidRDefault="00636C49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241,00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36C49" w:rsidRPr="00EC57BB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C49" w:rsidRPr="000246EF" w:rsidRDefault="00636C49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473,00</w:t>
            </w:r>
          </w:p>
        </w:tc>
        <w:tc>
          <w:tcPr>
            <w:tcW w:w="1134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540,00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6C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510,00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36C49" w:rsidRPr="00EC57BB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6C49" w:rsidRPr="0025555B" w:rsidRDefault="00636C49" w:rsidP="00C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:rsidR="00636C49" w:rsidRPr="0025555B" w:rsidRDefault="00636C49" w:rsidP="00C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Pr="0025555B" w:rsidRDefault="00636C49" w:rsidP="00C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Pr="0025555B" w:rsidRDefault="00636C49" w:rsidP="00C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1230,00</w:t>
            </w:r>
          </w:p>
        </w:tc>
        <w:tc>
          <w:tcPr>
            <w:tcW w:w="1160" w:type="dxa"/>
          </w:tcPr>
          <w:p w:rsidR="00636C49" w:rsidRPr="0025555B" w:rsidRDefault="00636C49" w:rsidP="00C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1400,00</w:t>
            </w:r>
          </w:p>
        </w:tc>
        <w:tc>
          <w:tcPr>
            <w:tcW w:w="1160" w:type="dxa"/>
          </w:tcPr>
          <w:p w:rsidR="00636C49" w:rsidRPr="0025555B" w:rsidRDefault="00636C49" w:rsidP="00C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36C49" w:rsidRPr="00EC57BB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36C49" w:rsidRDefault="00636C49" w:rsidP="00C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3380,00</w:t>
            </w:r>
          </w:p>
        </w:tc>
        <w:tc>
          <w:tcPr>
            <w:tcW w:w="1134" w:type="dxa"/>
          </w:tcPr>
          <w:p w:rsidR="00636C49" w:rsidRDefault="00636C49" w:rsidP="00C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3380,00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36C49" w:rsidRPr="00EC57BB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36C49" w:rsidRDefault="00636C49" w:rsidP="00C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:rsidR="00636C49" w:rsidRDefault="00636C49" w:rsidP="00C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60" w:type="dxa"/>
          </w:tcPr>
          <w:p w:rsidR="00636C49" w:rsidRDefault="00636C49" w:rsidP="00C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60" w:type="dxa"/>
          </w:tcPr>
          <w:p w:rsidR="00636C49" w:rsidRPr="00636C49" w:rsidRDefault="00636C49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205,00</w:t>
            </w:r>
          </w:p>
        </w:tc>
      </w:tr>
    </w:tbl>
    <w:p w:rsidR="00044E39" w:rsidRPr="00044E39" w:rsidRDefault="00044E39" w:rsidP="001C34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6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076B4F" w:rsidRPr="00DA2C67" w:rsidRDefault="00076B4F" w:rsidP="000729AD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 w:rsidR="0017627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6261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A2C67">
        <w:rPr>
          <w:sz w:val="24"/>
          <w:szCs w:val="24"/>
        </w:rPr>
        <w:t xml:space="preserve"> </w:t>
      </w:r>
      <w:r w:rsidRPr="00DA2C67">
        <w:rPr>
          <w:rFonts w:ascii="Times New Roman" w:hAnsi="Times New Roman" w:cs="Times New Roman"/>
          <w:sz w:val="24"/>
          <w:szCs w:val="24"/>
        </w:rPr>
        <w:t xml:space="preserve">Комплект реагентов для контроля качества </w:t>
      </w:r>
      <w:proofErr w:type="spellStart"/>
      <w:r w:rsidRPr="00DA2C67">
        <w:rPr>
          <w:rFonts w:ascii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DA2C67">
        <w:rPr>
          <w:rFonts w:ascii="Times New Roman" w:hAnsi="Times New Roman" w:cs="Times New Roman"/>
          <w:sz w:val="24"/>
          <w:szCs w:val="24"/>
        </w:rPr>
        <w:t xml:space="preserve"> очистки медицинских изделий </w:t>
      </w:r>
      <w:proofErr w:type="spellStart"/>
      <w:r w:rsidRPr="00DA2C67">
        <w:rPr>
          <w:rFonts w:ascii="Times New Roman" w:hAnsi="Times New Roman" w:cs="Times New Roman"/>
          <w:sz w:val="24"/>
          <w:szCs w:val="24"/>
        </w:rPr>
        <w:t>Азопирам</w:t>
      </w:r>
      <w:proofErr w:type="spellEnd"/>
      <w:r w:rsidRPr="00DA2C67">
        <w:rPr>
          <w:rFonts w:ascii="Times New Roman" w:hAnsi="Times New Roman" w:cs="Times New Roman"/>
          <w:sz w:val="24"/>
          <w:szCs w:val="24"/>
        </w:rPr>
        <w:t xml:space="preserve"> жидкий. Данное ИМН не указано в предельных ценах приказа МЗ РК от 5 августа 2021 года 3 Қ</w:t>
      </w:r>
      <w:proofErr w:type="gramStart"/>
      <w:r w:rsidRPr="00DA2C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A2C67">
        <w:rPr>
          <w:rFonts w:ascii="Times New Roman" w:hAnsi="Times New Roman" w:cs="Times New Roman"/>
          <w:sz w:val="24"/>
          <w:szCs w:val="24"/>
        </w:rPr>
        <w:t xml:space="preserve"> ДСМ-77 закуп произведен по ценовому предложению</w:t>
      </w:r>
      <w:r w:rsidRPr="00DA2C67">
        <w:rPr>
          <w:rFonts w:ascii="Times New Roman" w:hAnsi="Times New Roman" w:cs="Times New Roman"/>
          <w:sz w:val="24"/>
          <w:szCs w:val="24"/>
          <w:lang w:val="kk-KZ"/>
        </w:rPr>
        <w:t>. Ценовое предложение предоставил ТОО «ДиАКиТ», цена 3175,0 тенге.</w:t>
      </w:r>
    </w:p>
    <w:p w:rsidR="00076B4F" w:rsidRPr="00DA2C67" w:rsidRDefault="00076B4F" w:rsidP="000729A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Лот №2 </w:t>
      </w:r>
      <w:r w:rsidRPr="00DA2C67">
        <w:rPr>
          <w:rFonts w:ascii="Times New Roman" w:hAnsi="Times New Roman" w:cs="Times New Roman"/>
          <w:color w:val="000000"/>
          <w:sz w:val="24"/>
          <w:szCs w:val="24"/>
        </w:rPr>
        <w:t xml:space="preserve">Мочеприемник стерильный, однократного применения, мочеприемник прикроватный объемом 2000мл. </w:t>
      </w:r>
      <w:r w:rsidRPr="00DA2C6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отклонить  ТОО «Альянс», </w:t>
      </w:r>
      <w:r w:rsidR="00C85B06"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согласно Главы 4, пункта 2 несоответствие технической спецификации </w:t>
      </w:r>
      <w:r w:rsidR="009A33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7103" w:rsidRPr="00DA2C67">
        <w:rPr>
          <w:rFonts w:ascii="Times New Roman" w:hAnsi="Times New Roman" w:cs="Times New Roman"/>
          <w:sz w:val="24"/>
          <w:szCs w:val="24"/>
        </w:rPr>
        <w:t>цена 145,00 тенге.</w:t>
      </w:r>
    </w:p>
    <w:p w:rsidR="006C7103" w:rsidRPr="00DA2C67" w:rsidRDefault="006C7103" w:rsidP="000729AD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DA2C67">
        <w:rPr>
          <w:rFonts w:ascii="Times New Roman" w:hAnsi="Times New Roman" w:cs="Times New Roman"/>
          <w:sz w:val="24"/>
          <w:szCs w:val="24"/>
        </w:rPr>
        <w:t>Лот №3 Направляющий воздуховод №4, Ценовое предложение предоставил  ТОО «Альянс» цена 241,00 тенге.</w:t>
      </w:r>
      <w:r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2C67">
        <w:rPr>
          <w:rFonts w:ascii="Times New Roman" w:hAnsi="Times New Roman" w:cs="Times New Roman"/>
          <w:sz w:val="24"/>
          <w:szCs w:val="24"/>
        </w:rPr>
        <w:t>Данное ИМН не указано в предельных ценах Приказа МЗ РК от 5 августа 2021 года № Қ</w:t>
      </w:r>
      <w:proofErr w:type="gramStart"/>
      <w:r w:rsidRPr="00DA2C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A2C67">
        <w:rPr>
          <w:rFonts w:ascii="Times New Roman" w:hAnsi="Times New Roman" w:cs="Times New Roman"/>
          <w:sz w:val="24"/>
          <w:szCs w:val="24"/>
        </w:rPr>
        <w:t xml:space="preserve"> ДСМ-77</w:t>
      </w:r>
      <w:r w:rsidRPr="00DA2C6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7A08" w:rsidRPr="00DA2C67" w:rsidRDefault="006C7103" w:rsidP="00127A08">
      <w:pPr>
        <w:pStyle w:val="2"/>
        <w:ind w:left="0"/>
        <w:rPr>
          <w:sz w:val="24"/>
          <w:lang w:val="kk-KZ"/>
        </w:rPr>
      </w:pPr>
      <w:r w:rsidRPr="00DA2C67">
        <w:rPr>
          <w:sz w:val="24"/>
          <w:lang w:val="kk-KZ"/>
        </w:rPr>
        <w:t>Лот№4</w:t>
      </w:r>
      <w:r w:rsidR="0033635D" w:rsidRPr="00DA2C67">
        <w:rPr>
          <w:sz w:val="24"/>
          <w:lang w:val="kk-KZ"/>
        </w:rPr>
        <w:t xml:space="preserve"> </w:t>
      </w:r>
      <w:r w:rsidR="0033635D" w:rsidRPr="00DA2C67">
        <w:rPr>
          <w:sz w:val="24"/>
        </w:rPr>
        <w:t>Фильтр дыхательный  электростатический</w:t>
      </w:r>
      <w:r w:rsidR="0033635D" w:rsidRPr="00DA2C67">
        <w:rPr>
          <w:sz w:val="24"/>
          <w:lang w:val="kk-KZ"/>
        </w:rPr>
        <w:t>.</w:t>
      </w:r>
      <w:r w:rsidR="00127A08" w:rsidRPr="00DA2C67">
        <w:rPr>
          <w:sz w:val="24"/>
          <w:lang w:val="kk-KZ"/>
        </w:rPr>
        <w:t>Закуп произведен по ценовому предложению Поставщика, Ценовые предложения предоставили ТОО «Альянс, ТОО «АРША», ИП Степанова85. Наименьшая цена  ТОО «АРША»  цена 473,00 тенге.</w:t>
      </w:r>
    </w:p>
    <w:p w:rsidR="00127A08" w:rsidRPr="00DA2C67" w:rsidRDefault="00127A08" w:rsidP="00127A08">
      <w:pPr>
        <w:pStyle w:val="2"/>
        <w:ind w:left="0"/>
        <w:rPr>
          <w:sz w:val="24"/>
          <w:lang w:val="kk-KZ"/>
        </w:rPr>
      </w:pPr>
      <w:r w:rsidRPr="00DA2C67">
        <w:rPr>
          <w:sz w:val="24"/>
          <w:lang w:val="kk-KZ"/>
        </w:rPr>
        <w:t xml:space="preserve">Лот№5 </w:t>
      </w:r>
      <w:r w:rsidRPr="00DA2C67">
        <w:rPr>
          <w:sz w:val="24"/>
        </w:rPr>
        <w:t>Зонд желудочный СН 30</w:t>
      </w:r>
      <w:r w:rsidRPr="00DA2C67">
        <w:rPr>
          <w:sz w:val="24"/>
          <w:lang w:val="kk-KZ"/>
        </w:rPr>
        <w:t>. Закуп произведен по ценовому предложению. Ценовые предложения предоставили ИП Степанова85, ТОО «РосФарма». Наименьшая цена ТОО «РосФарма» цена 1230,00 тенге.</w:t>
      </w:r>
    </w:p>
    <w:p w:rsidR="00D77ECE" w:rsidRPr="00681E39" w:rsidRDefault="00127A08" w:rsidP="00681E3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A2C6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Лот№6 </w:t>
      </w:r>
      <w:proofErr w:type="spellStart"/>
      <w:r w:rsidRPr="00DA2C67">
        <w:rPr>
          <w:rFonts w:ascii="Times New Roman" w:hAnsi="Times New Roman" w:cs="Times New Roman"/>
          <w:sz w:val="24"/>
          <w:szCs w:val="24"/>
        </w:rPr>
        <w:t>Термоиндикатор</w:t>
      </w:r>
      <w:proofErr w:type="spellEnd"/>
      <w:r w:rsidRPr="00DA2C67">
        <w:rPr>
          <w:rFonts w:ascii="Times New Roman" w:hAnsi="Times New Roman" w:cs="Times New Roman"/>
          <w:sz w:val="24"/>
          <w:szCs w:val="24"/>
        </w:rPr>
        <w:t xml:space="preserve">  на 132 гр.</w:t>
      </w:r>
      <w:r w:rsidRPr="00DA2C67">
        <w:rPr>
          <w:sz w:val="24"/>
          <w:szCs w:val="24"/>
          <w:lang w:val="kk-KZ"/>
        </w:rPr>
        <w:t xml:space="preserve"> </w:t>
      </w:r>
      <w:r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Закуп произведен по ценовому предложению Поставщика.Ценовые предложения предоставили ТОО «АРША», ТОО «РосФарма». Наименьшая цена </w:t>
      </w:r>
      <w:r w:rsidR="00180C40" w:rsidRPr="00DA2C67">
        <w:rPr>
          <w:rFonts w:ascii="Times New Roman" w:hAnsi="Times New Roman" w:cs="Times New Roman"/>
          <w:sz w:val="24"/>
          <w:szCs w:val="24"/>
          <w:lang w:val="kk-KZ"/>
        </w:rPr>
        <w:t>ТОО «Арша»  цена 3380,00 тенге, согласно Главы 4, пункта 2 несоответствие технической спецификации</w:t>
      </w:r>
      <w:r w:rsidR="00DA2C67"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отклонить. Победителем признать ТОО «РосФарма» цена 5700,00 тенге.                                                                                                                                                                                                 Лот №7 </w:t>
      </w:r>
      <w:r w:rsidR="00DA2C67" w:rsidRPr="00DA2C67">
        <w:rPr>
          <w:rFonts w:ascii="Times New Roman" w:hAnsi="Times New Roman" w:cs="Times New Roman"/>
          <w:sz w:val="24"/>
          <w:szCs w:val="24"/>
        </w:rPr>
        <w:t>Бумага диаграммная  57*18*12 нар.</w:t>
      </w:r>
      <w:r w:rsidR="00DA2C67"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 Закуп произведен  по ценовому предложению. Ценовое предложение представил ТОО «Теникс-СК» цена 205,00 тенге.</w:t>
      </w:r>
    </w:p>
    <w:p w:rsidR="005E05F8" w:rsidRPr="00DA2C67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 к решению </w:t>
      </w:r>
      <w:r w:rsidR="00DA2C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заключить договора в установленные сроки.</w:t>
      </w:r>
    </w:p>
    <w:p w:rsidR="00B41BCA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proofErr w:type="gram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246EF"/>
    <w:rsid w:val="00025B68"/>
    <w:rsid w:val="000329D5"/>
    <w:rsid w:val="00044E39"/>
    <w:rsid w:val="00053EEC"/>
    <w:rsid w:val="000729AD"/>
    <w:rsid w:val="0007455A"/>
    <w:rsid w:val="00074F6E"/>
    <w:rsid w:val="00076B4F"/>
    <w:rsid w:val="000B259C"/>
    <w:rsid w:val="000B5F35"/>
    <w:rsid w:val="00127A08"/>
    <w:rsid w:val="00174330"/>
    <w:rsid w:val="00176272"/>
    <w:rsid w:val="00180C40"/>
    <w:rsid w:val="00181AB0"/>
    <w:rsid w:val="001B0ECE"/>
    <w:rsid w:val="001C34B5"/>
    <w:rsid w:val="001C6D99"/>
    <w:rsid w:val="001E0CD1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3635D"/>
    <w:rsid w:val="00346ACC"/>
    <w:rsid w:val="0036344D"/>
    <w:rsid w:val="003C7872"/>
    <w:rsid w:val="003E602E"/>
    <w:rsid w:val="00420F37"/>
    <w:rsid w:val="004526BB"/>
    <w:rsid w:val="00457878"/>
    <w:rsid w:val="00473B35"/>
    <w:rsid w:val="00474292"/>
    <w:rsid w:val="004856E4"/>
    <w:rsid w:val="004902EE"/>
    <w:rsid w:val="00493F44"/>
    <w:rsid w:val="00494CAA"/>
    <w:rsid w:val="004B2424"/>
    <w:rsid w:val="004C541D"/>
    <w:rsid w:val="004F3A4D"/>
    <w:rsid w:val="004F509F"/>
    <w:rsid w:val="00506F4B"/>
    <w:rsid w:val="00526F4E"/>
    <w:rsid w:val="00535E02"/>
    <w:rsid w:val="00546F66"/>
    <w:rsid w:val="00557519"/>
    <w:rsid w:val="00595CF3"/>
    <w:rsid w:val="005C1001"/>
    <w:rsid w:val="005E05F8"/>
    <w:rsid w:val="00611E2B"/>
    <w:rsid w:val="00636C49"/>
    <w:rsid w:val="0066226A"/>
    <w:rsid w:val="00681E39"/>
    <w:rsid w:val="006C7103"/>
    <w:rsid w:val="006C7172"/>
    <w:rsid w:val="006F2265"/>
    <w:rsid w:val="007044D2"/>
    <w:rsid w:val="007320DB"/>
    <w:rsid w:val="00733428"/>
    <w:rsid w:val="0076285F"/>
    <w:rsid w:val="007655C7"/>
    <w:rsid w:val="007B1FA7"/>
    <w:rsid w:val="007C536B"/>
    <w:rsid w:val="007C626D"/>
    <w:rsid w:val="007E2A89"/>
    <w:rsid w:val="007E5093"/>
    <w:rsid w:val="007E7F37"/>
    <w:rsid w:val="0080277A"/>
    <w:rsid w:val="0082376D"/>
    <w:rsid w:val="00827704"/>
    <w:rsid w:val="00833CFD"/>
    <w:rsid w:val="008572C6"/>
    <w:rsid w:val="0087059B"/>
    <w:rsid w:val="008875EB"/>
    <w:rsid w:val="008B1546"/>
    <w:rsid w:val="008C2739"/>
    <w:rsid w:val="008D0B6F"/>
    <w:rsid w:val="00930C89"/>
    <w:rsid w:val="00931225"/>
    <w:rsid w:val="0093745B"/>
    <w:rsid w:val="00952D63"/>
    <w:rsid w:val="00962142"/>
    <w:rsid w:val="00962BAD"/>
    <w:rsid w:val="009644D3"/>
    <w:rsid w:val="00981CFC"/>
    <w:rsid w:val="00997882"/>
    <w:rsid w:val="009A137C"/>
    <w:rsid w:val="009A3337"/>
    <w:rsid w:val="009E676F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B46E1"/>
    <w:rsid w:val="00AD01E2"/>
    <w:rsid w:val="00AE62C1"/>
    <w:rsid w:val="00B302BC"/>
    <w:rsid w:val="00B30E1C"/>
    <w:rsid w:val="00B34C2E"/>
    <w:rsid w:val="00B41BCA"/>
    <w:rsid w:val="00B4610A"/>
    <w:rsid w:val="00B67329"/>
    <w:rsid w:val="00B85C26"/>
    <w:rsid w:val="00BC32DC"/>
    <w:rsid w:val="00BC7E9F"/>
    <w:rsid w:val="00C15E94"/>
    <w:rsid w:val="00C20DBA"/>
    <w:rsid w:val="00C25AD9"/>
    <w:rsid w:val="00C808ED"/>
    <w:rsid w:val="00C81744"/>
    <w:rsid w:val="00C85B06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30D47"/>
    <w:rsid w:val="00D41A7E"/>
    <w:rsid w:val="00D447AC"/>
    <w:rsid w:val="00D44E73"/>
    <w:rsid w:val="00D5162D"/>
    <w:rsid w:val="00D72D3D"/>
    <w:rsid w:val="00D77ECE"/>
    <w:rsid w:val="00DA2C67"/>
    <w:rsid w:val="00DA7957"/>
    <w:rsid w:val="00DD259A"/>
    <w:rsid w:val="00E11897"/>
    <w:rsid w:val="00E16F59"/>
    <w:rsid w:val="00E409B3"/>
    <w:rsid w:val="00E43E4E"/>
    <w:rsid w:val="00E67C9E"/>
    <w:rsid w:val="00E70112"/>
    <w:rsid w:val="00E9193A"/>
    <w:rsid w:val="00EB0270"/>
    <w:rsid w:val="00EC57BB"/>
    <w:rsid w:val="00ED37E8"/>
    <w:rsid w:val="00F12BAD"/>
    <w:rsid w:val="00F15B32"/>
    <w:rsid w:val="00F302D8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uiPriority w:val="9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62BAC-9796-4FE9-9EA7-CF86A15A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143</cp:revision>
  <cp:lastPrinted>2023-02-10T02:54:00Z</cp:lastPrinted>
  <dcterms:created xsi:type="dcterms:W3CDTF">2019-02-19T08:51:00Z</dcterms:created>
  <dcterms:modified xsi:type="dcterms:W3CDTF">2023-02-10T03:04:00Z</dcterms:modified>
</cp:coreProperties>
</file>