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2778" w14:textId="21DCF0E3" w:rsidR="007A2D1D" w:rsidRPr="007A2D1D" w:rsidRDefault="007A2D1D" w:rsidP="007A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7A2D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A2D1D">
        <w:rPr>
          <w:rFonts w:ascii="Times New Roman" w:hAnsi="Times New Roman" w:cs="Times New Roman"/>
          <w:sz w:val="28"/>
          <w:szCs w:val="28"/>
        </w:rPr>
        <w:t xml:space="preserve"> директора КГП на ПХВ «ОЦСМП» КГУ «УЗ акимата СКО»</w:t>
      </w:r>
    </w:p>
    <w:p w14:paraId="0E68FBA4" w14:textId="6D4CE655" w:rsidR="007A2D1D" w:rsidRPr="007A2D1D" w:rsidRDefault="007A2D1D" w:rsidP="007A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7A2D1D">
        <w:rPr>
          <w:rFonts w:ascii="Times New Roman" w:hAnsi="Times New Roman" w:cs="Times New Roman"/>
          <w:sz w:val="28"/>
          <w:szCs w:val="28"/>
        </w:rPr>
        <w:t>_________________ Ким С.А.</w:t>
      </w:r>
    </w:p>
    <w:p w14:paraId="6C8A7C45" w14:textId="77777777" w:rsidR="007A2D1D" w:rsidRPr="007A2D1D" w:rsidRDefault="007A2D1D" w:rsidP="007A2D1D">
      <w:pPr>
        <w:rPr>
          <w:rFonts w:ascii="Times New Roman" w:hAnsi="Times New Roman" w:cs="Times New Roman"/>
          <w:sz w:val="28"/>
          <w:szCs w:val="28"/>
        </w:rPr>
      </w:pPr>
      <w:r w:rsidRPr="007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1</w:t>
      </w:r>
    </w:p>
    <w:p w14:paraId="17CE5E07" w14:textId="77777777" w:rsidR="007A2D1D" w:rsidRPr="007A2D1D" w:rsidRDefault="007A2D1D" w:rsidP="007A2D1D">
      <w:pPr>
        <w:rPr>
          <w:rFonts w:ascii="Times New Roman" w:hAnsi="Times New Roman" w:cs="Times New Roman"/>
          <w:sz w:val="28"/>
          <w:szCs w:val="28"/>
        </w:rPr>
      </w:pPr>
      <w:r w:rsidRPr="007A2D1D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517"/>
        <w:gridCol w:w="2429"/>
        <w:gridCol w:w="3970"/>
        <w:gridCol w:w="993"/>
        <w:gridCol w:w="1134"/>
        <w:gridCol w:w="992"/>
        <w:gridCol w:w="1134"/>
        <w:gridCol w:w="2694"/>
        <w:gridCol w:w="2127"/>
      </w:tblGrid>
      <w:tr w:rsidR="007A2D1D" w:rsidRPr="007A2D1D" w14:paraId="384DF72F" w14:textId="77777777" w:rsidTr="007A2D1D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E8D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75A93" w14:textId="77777777" w:rsidR="007A2D1D" w:rsidRPr="007A2D1D" w:rsidRDefault="007A2D1D" w:rsidP="007A2D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Торговое наименование/</w:t>
            </w: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A8FA6" w14:textId="77777777" w:rsidR="007A2D1D" w:rsidRPr="007A2D1D" w:rsidRDefault="007A2D1D" w:rsidP="007A2D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8967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513C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821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149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Выделенная сумма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41E6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FC1E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Адрес поставки</w:t>
            </w:r>
          </w:p>
        </w:tc>
      </w:tr>
      <w:tr w:rsidR="007A2D1D" w:rsidRPr="007A2D1D" w14:paraId="509102CA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981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B32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Атропина сульфат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CD8F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1 мг/мл №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C962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644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F43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673,40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A4FF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6734,0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BD31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CD62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71F2140F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4F10C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0484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Кальция хлорид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B8D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инъекций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10% 5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0A23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1C9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071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1FC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1116,5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DCD86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3D2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45CBD2E1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8681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D9F0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Пиридоксина гидрохлорид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9DE2D" w14:textId="69013F29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D450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D1D5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749C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574F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5F28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66FC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3417C124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DF8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DE795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244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0,25 мг/мл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C03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1B515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CC71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D81E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CA97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4FC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4D103D20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943D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D618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4707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инъекций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5 % 1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C0E1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D92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9C7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6AA7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6588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C785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0614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14C58F49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E326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7D936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4AD2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1 % 20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CAE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E68F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9BC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B3AB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1714,4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8B3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01D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07C4EF9F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AD9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B64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FC17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10 % 20 мл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E01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ED775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C874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FB97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3248,8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9F26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194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60BBECDA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9620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9A6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97467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таблетка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500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33BE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03E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876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958A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D20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D63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0680531F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495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CD997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Водорода перекись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42BCE" w14:textId="77777777" w:rsidR="007A2D1D" w:rsidRPr="007A2D1D" w:rsidRDefault="007A2D1D" w:rsidP="007A2D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применения, 3 %, 100 мл, №1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14F4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7F0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4413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7FFB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43800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972D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82CE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663A1571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189A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B64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Зонд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желудочный  размер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СН 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1FAD5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Зонд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желудочный  размер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СН 28</w:t>
            </w:r>
            <w:r w:rsidRPr="007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 длина 1000 -1100мм, стерильный, однократного применения, предназначен для желудочного зондирования с лечебной или диагностической целью.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Неперегибаемый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, имеет цветной идентификационный код.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Изготовлен  из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эластичного ПВХ. Желудочный зонд имеет форму трубки круглого сечения. На одном конце трубки находится воронка, другой конец трубки полностью закрыт или </w:t>
            </w: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оканчивается центральным отверстием. На боковой поверхности трубки имеются два отверстия. Срок годности 5 лет.</w:t>
            </w:r>
          </w:p>
          <w:p w14:paraId="6E20BD0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1AFB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82B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9060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96E85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148000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1C9B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824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0DACFCBB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71A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140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Зонд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желудочный  размер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СН 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098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Зонд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желудочный  размер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СН 32</w:t>
            </w:r>
            <w:r w:rsidRPr="007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 длина 1000 -1100мм, стерильный, однократного применения, предназначен для желудочного зондирования с лечебной или диагностической целью.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Неперегибаемый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, имеет цветной идентификационный код. </w:t>
            </w:r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Изготовлен  из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эластичного ПВХ. Желудочный зонд имеет форму трубки круглого сечения. На одном конце трубки находится воронка, другой конец трубки полностью закрыт или оканчивается центральным отверстием. На боковой поверхности трубки имеются </w:t>
            </w: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отверстия. Срок годности 5 лет.</w:t>
            </w:r>
          </w:p>
          <w:p w14:paraId="317F022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1FC36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9B5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AFB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38D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82750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8EB92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1AD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66A894FE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5C1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297A1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Удлинитель инфузионный стерильный, однократного применения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FE63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Предназначены для проведения внутривенного вливания лекарственных средств с помощью шприцевого дозатора в условиях лечебно-профилактических учреждений, облегчает проведение инфузионной терапии из различных источников, а также процесс контроля за ними. Состоит из прозрачной трубки, изготовленной из ПВХ медицинского назначения, номинальная длина, мм – 1500, 2500, расчетное давление, 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низкого давления 0,4 (У1), высокого давления 6,5 (У2). Коннектор FLL и коннектор MLL. Срок хранения – 5 лет, стерильный, однократного применения.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E8C18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1213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83D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837,09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8E4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16741,8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6F1B9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4003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7A2D1D" w:rsidRPr="007A2D1D" w14:paraId="3BF18BFC" w14:textId="77777777" w:rsidTr="007A2D1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C6C3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15A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 Ультра-</w:t>
            </w: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Адсорб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C0BE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Таблетки, 0,25 г, №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C3CBF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351D0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67E04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370B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2348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587CD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7F0A" w14:textId="77777777" w:rsidR="007A2D1D" w:rsidRPr="007A2D1D" w:rsidRDefault="007A2D1D" w:rsidP="007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D1D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</w:tbl>
    <w:p w14:paraId="3C9404DC" w14:textId="77777777" w:rsidR="007A2D1D" w:rsidRPr="007A2D1D" w:rsidRDefault="007A2D1D" w:rsidP="007A2D1D">
      <w:pPr>
        <w:rPr>
          <w:rFonts w:ascii="Times New Roman" w:hAnsi="Times New Roman" w:cs="Times New Roman"/>
          <w:sz w:val="28"/>
          <w:szCs w:val="28"/>
        </w:rPr>
      </w:pPr>
    </w:p>
    <w:p w14:paraId="306A0174" w14:textId="77777777" w:rsidR="0088199E" w:rsidRDefault="0088199E" w:rsidP="007A2D1D"/>
    <w:p w14:paraId="26DA7D92" w14:textId="77777777" w:rsidR="00366147" w:rsidRDefault="00366147" w:rsidP="007A2D1D"/>
    <w:p w14:paraId="2FB65200" w14:textId="77777777" w:rsidR="00366147" w:rsidRDefault="00366147" w:rsidP="007A2D1D"/>
    <w:p w14:paraId="136E1B6C" w14:textId="77777777" w:rsidR="00366147" w:rsidRDefault="00366147" w:rsidP="007A2D1D"/>
    <w:p w14:paraId="6F40E887" w14:textId="77777777" w:rsidR="00366147" w:rsidRDefault="00366147" w:rsidP="007A2D1D"/>
    <w:p w14:paraId="41BA4594" w14:textId="77777777" w:rsidR="00366147" w:rsidRDefault="00366147" w:rsidP="007A2D1D"/>
    <w:p w14:paraId="44F92567" w14:textId="77777777" w:rsidR="00366147" w:rsidRDefault="00366147" w:rsidP="007A2D1D"/>
    <w:p w14:paraId="5B1C5C65" w14:textId="77777777" w:rsidR="00366147" w:rsidRDefault="00366147" w:rsidP="007A2D1D"/>
    <w:p w14:paraId="3C95B088" w14:textId="77777777" w:rsidR="00366147" w:rsidRDefault="00366147" w:rsidP="007A2D1D"/>
    <w:p w14:paraId="475998F7" w14:textId="77777777" w:rsidR="00366147" w:rsidRDefault="00366147" w:rsidP="007A2D1D"/>
    <w:p w14:paraId="78199720" w14:textId="77777777" w:rsidR="00366147" w:rsidRDefault="00366147" w:rsidP="007A2D1D"/>
    <w:p w14:paraId="6FC4F469" w14:textId="77777777" w:rsidR="00366147" w:rsidRDefault="00366147" w:rsidP="007A2D1D"/>
    <w:p w14:paraId="6C8DBB6C" w14:textId="77777777" w:rsidR="00366147" w:rsidRDefault="00366147" w:rsidP="007A2D1D"/>
    <w:p w14:paraId="2959AADB" w14:textId="77777777" w:rsidR="00366147" w:rsidRDefault="00366147" w:rsidP="007A2D1D"/>
    <w:p w14:paraId="3E90FB2C" w14:textId="77777777" w:rsidR="00366147" w:rsidRDefault="00366147" w:rsidP="007A2D1D"/>
    <w:p w14:paraId="40BC609F" w14:textId="77777777" w:rsidR="00366147" w:rsidRDefault="00366147" w:rsidP="007A2D1D"/>
    <w:p w14:paraId="6D2EBE2C" w14:textId="77777777" w:rsidR="00366147" w:rsidRDefault="00366147" w:rsidP="007A2D1D"/>
    <w:p w14:paraId="5320DE35" w14:textId="77777777" w:rsidR="00366147" w:rsidRDefault="00366147" w:rsidP="007A2D1D"/>
    <w:p w14:paraId="2D1026CD" w14:textId="77777777" w:rsidR="00366147" w:rsidRPr="00F667C8" w:rsidRDefault="00366147" w:rsidP="0036614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667C8">
        <w:rPr>
          <w:rFonts w:ascii="Times New Roman" w:hAnsi="Times New Roman" w:cs="Times New Roman"/>
          <w:sz w:val="24"/>
          <w:szCs w:val="24"/>
          <w:lang w:val="kk-KZ"/>
        </w:rPr>
        <w:t>«СҚО әкімдігінің ДСБ» КММ «ОЖМКО» ШЖҚ КМК</w:t>
      </w:r>
      <w:r w:rsidRPr="00F667C8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Pr="00F667C8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дың м.а.</w:t>
      </w:r>
    </w:p>
    <w:p w14:paraId="5FAD572B" w14:textId="77777777" w:rsidR="00366147" w:rsidRPr="00F667C8" w:rsidRDefault="00366147" w:rsidP="0036614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Ким С.А.</w:t>
      </w:r>
      <w:r w:rsidRPr="00F667C8">
        <w:rPr>
          <w:rFonts w:ascii="Times New Roman" w:hAnsi="Times New Roman" w:cs="Times New Roman"/>
          <w:sz w:val="24"/>
          <w:szCs w:val="24"/>
          <w:lang w:val="kk-KZ"/>
        </w:rPr>
        <w:t xml:space="preserve">_________________ </w:t>
      </w:r>
    </w:p>
    <w:p w14:paraId="17F5FE84" w14:textId="77777777" w:rsidR="00366147" w:rsidRPr="00CD5095" w:rsidRDefault="00366147" w:rsidP="003661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5095">
        <w:rPr>
          <w:rFonts w:ascii="Times New Roman" w:hAnsi="Times New Roman" w:cs="Times New Roman"/>
          <w:sz w:val="24"/>
          <w:szCs w:val="24"/>
          <w:lang w:val="kk-KZ"/>
        </w:rPr>
        <w:t>Қосымша 1</w:t>
      </w:r>
    </w:p>
    <w:p w14:paraId="5331C506" w14:textId="77777777" w:rsidR="00366147" w:rsidRPr="00CD5095" w:rsidRDefault="00366147" w:rsidP="00366147">
      <w:pPr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  <w:highlight w:val="yellow"/>
          <w:lang w:val="kk-KZ"/>
        </w:rPr>
      </w:pPr>
      <w:r w:rsidRPr="00CD509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техникалық ерекшелігі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969"/>
        <w:gridCol w:w="993"/>
        <w:gridCol w:w="1134"/>
        <w:gridCol w:w="992"/>
        <w:gridCol w:w="1134"/>
        <w:gridCol w:w="2693"/>
        <w:gridCol w:w="2126"/>
      </w:tblGrid>
      <w:tr w:rsidR="00366147" w:rsidRPr="00A86ABB" w14:paraId="0B9A9B1F" w14:textId="77777777" w:rsidTr="00696FB2">
        <w:trPr>
          <w:trHeight w:val="1300"/>
        </w:trPr>
        <w:tc>
          <w:tcPr>
            <w:tcW w:w="516" w:type="dxa"/>
          </w:tcPr>
          <w:p w14:paraId="3760646D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07F97CFF" w14:textId="77777777" w:rsidR="00366147" w:rsidRPr="00F667C8" w:rsidRDefault="00366147" w:rsidP="00696F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Дәрілік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заттың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сауда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патенттелмеген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969" w:type="dxa"/>
          </w:tcPr>
          <w:p w14:paraId="093CFC7C" w14:textId="77777777" w:rsidR="00366147" w:rsidRPr="00F667C8" w:rsidRDefault="00366147" w:rsidP="00696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Техникалық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</w:tcPr>
          <w:p w14:paraId="03AEDD38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34" w:type="dxa"/>
          </w:tcPr>
          <w:p w14:paraId="66695B59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992" w:type="dxa"/>
          </w:tcPr>
          <w:p w14:paraId="72E25366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134" w:type="dxa"/>
          </w:tcPr>
          <w:p w14:paraId="6FA669BC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693" w:type="dxa"/>
          </w:tcPr>
          <w:p w14:paraId="5E3350E6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126" w:type="dxa"/>
          </w:tcPr>
          <w:p w14:paraId="71B36E47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366147" w:rsidRPr="00A86ABB" w14:paraId="267011A0" w14:textId="77777777" w:rsidTr="00696FB2">
        <w:tc>
          <w:tcPr>
            <w:tcW w:w="516" w:type="dxa"/>
          </w:tcPr>
          <w:p w14:paraId="453DBB85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6C4FAD30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 сульфаты</w:t>
            </w:r>
          </w:p>
        </w:tc>
        <w:tc>
          <w:tcPr>
            <w:tcW w:w="3969" w:type="dxa"/>
          </w:tcPr>
          <w:p w14:paraId="47B3FC67" w14:textId="77777777" w:rsidR="00366147" w:rsidRPr="00366147" w:rsidRDefault="00366147" w:rsidP="00696FB2">
            <w:pPr>
              <w:pStyle w:val="TableParagraph"/>
              <w:rPr>
                <w:rStyle w:val="a5"/>
                <w:i w:val="0"/>
                <w:iCs w:val="0"/>
                <w:sz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мг/мл № 10</w:t>
            </w:r>
          </w:p>
        </w:tc>
        <w:tc>
          <w:tcPr>
            <w:tcW w:w="993" w:type="dxa"/>
          </w:tcPr>
          <w:p w14:paraId="5EE6DFE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Орам</w:t>
            </w:r>
          </w:p>
        </w:tc>
        <w:tc>
          <w:tcPr>
            <w:tcW w:w="1134" w:type="dxa"/>
          </w:tcPr>
          <w:p w14:paraId="5A284448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5D0742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673,40</w:t>
            </w:r>
          </w:p>
        </w:tc>
        <w:tc>
          <w:tcPr>
            <w:tcW w:w="1134" w:type="dxa"/>
          </w:tcPr>
          <w:p w14:paraId="390572AF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6734,0</w:t>
            </w:r>
          </w:p>
        </w:tc>
        <w:tc>
          <w:tcPr>
            <w:tcW w:w="2693" w:type="dxa"/>
          </w:tcPr>
          <w:p w14:paraId="210D6DF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1B40F7D3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49A8F1CD" w14:textId="77777777" w:rsidTr="00696FB2">
        <w:tc>
          <w:tcPr>
            <w:tcW w:w="516" w:type="dxa"/>
          </w:tcPr>
          <w:p w14:paraId="3460F4E7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06A00A3A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Кальций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хлориді</w:t>
            </w:r>
            <w:proofErr w:type="spellEnd"/>
          </w:p>
        </w:tc>
        <w:tc>
          <w:tcPr>
            <w:tcW w:w="3969" w:type="dxa"/>
          </w:tcPr>
          <w:p w14:paraId="44B51169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10% 5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7169C7C7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022206F2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6E7129E2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  <w:tc>
          <w:tcPr>
            <w:tcW w:w="1134" w:type="dxa"/>
          </w:tcPr>
          <w:p w14:paraId="0660B73F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2693" w:type="dxa"/>
          </w:tcPr>
          <w:p w14:paraId="4762A4E8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2E5D3AE3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3A6A85F3" w14:textId="77777777" w:rsidTr="00696FB2">
        <w:tc>
          <w:tcPr>
            <w:tcW w:w="516" w:type="dxa"/>
          </w:tcPr>
          <w:p w14:paraId="71512F6B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529515EE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Пиридоксин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гидрохлориді</w:t>
            </w:r>
            <w:proofErr w:type="spellEnd"/>
          </w:p>
        </w:tc>
        <w:tc>
          <w:tcPr>
            <w:tcW w:w="3969" w:type="dxa"/>
          </w:tcPr>
          <w:p w14:paraId="3C772141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5% 1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414393A1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5883593C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42033328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134" w:type="dxa"/>
          </w:tcPr>
          <w:p w14:paraId="0FCE4FA3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2693" w:type="dxa"/>
          </w:tcPr>
          <w:p w14:paraId="78D1EC57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2864B46D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09FECEE0" w14:textId="77777777" w:rsidTr="00696FB2">
        <w:tc>
          <w:tcPr>
            <w:tcW w:w="516" w:type="dxa"/>
          </w:tcPr>
          <w:p w14:paraId="23A198A4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27" w:type="dxa"/>
          </w:tcPr>
          <w:p w14:paraId="09698B7F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3969" w:type="dxa"/>
          </w:tcPr>
          <w:p w14:paraId="3119384A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0,25 мг/мл</w:t>
            </w:r>
          </w:p>
        </w:tc>
        <w:tc>
          <w:tcPr>
            <w:tcW w:w="993" w:type="dxa"/>
          </w:tcPr>
          <w:p w14:paraId="2F914EB8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7485A888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469F5261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1134" w:type="dxa"/>
          </w:tcPr>
          <w:p w14:paraId="69283F82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693" w:type="dxa"/>
          </w:tcPr>
          <w:p w14:paraId="48194A20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0D3D76AF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50C331F6" w14:textId="77777777" w:rsidTr="00696FB2">
        <w:tc>
          <w:tcPr>
            <w:tcW w:w="516" w:type="dxa"/>
          </w:tcPr>
          <w:p w14:paraId="0F531CCD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0284AB82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3969" w:type="dxa"/>
          </w:tcPr>
          <w:p w14:paraId="36B45532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5 % 1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3F353722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7790E74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0D052CB1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134" w:type="dxa"/>
          </w:tcPr>
          <w:p w14:paraId="1A904810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2693" w:type="dxa"/>
          </w:tcPr>
          <w:p w14:paraId="2C294569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46589E71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6E014D9A" w14:textId="77777777" w:rsidTr="00696FB2">
        <w:tc>
          <w:tcPr>
            <w:tcW w:w="516" w:type="dxa"/>
          </w:tcPr>
          <w:p w14:paraId="6B608D32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14:paraId="7215A767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Гауһар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</w:p>
        </w:tc>
        <w:tc>
          <w:tcPr>
            <w:tcW w:w="3969" w:type="dxa"/>
          </w:tcPr>
          <w:p w14:paraId="43C41E84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1 % 20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55D390C8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134" w:type="dxa"/>
          </w:tcPr>
          <w:p w14:paraId="306638E6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CA1AD24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14:paraId="417C12E6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1714,4</w:t>
            </w:r>
          </w:p>
        </w:tc>
        <w:tc>
          <w:tcPr>
            <w:tcW w:w="2693" w:type="dxa"/>
          </w:tcPr>
          <w:p w14:paraId="4FEDCCB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70D31CB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0D5F59BD" w14:textId="77777777" w:rsidTr="00696FB2">
        <w:tc>
          <w:tcPr>
            <w:tcW w:w="516" w:type="dxa"/>
          </w:tcPr>
          <w:p w14:paraId="430B04E8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14:paraId="18C80AC8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3969" w:type="dxa"/>
          </w:tcPr>
          <w:p w14:paraId="4D524D9B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сыртқы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қолдануға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10 % 20 мл</w:t>
            </w:r>
          </w:p>
        </w:tc>
        <w:tc>
          <w:tcPr>
            <w:tcW w:w="993" w:type="dxa"/>
          </w:tcPr>
          <w:p w14:paraId="697820ED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14:paraId="40941A56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0CC320D9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</w:tcPr>
          <w:p w14:paraId="34CFE2E0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3248,8</w:t>
            </w:r>
          </w:p>
        </w:tc>
        <w:tc>
          <w:tcPr>
            <w:tcW w:w="2693" w:type="dxa"/>
          </w:tcPr>
          <w:p w14:paraId="263F6E23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6A71087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059E9D2E" w14:textId="77777777" w:rsidTr="00696FB2">
        <w:tc>
          <w:tcPr>
            <w:tcW w:w="516" w:type="dxa"/>
          </w:tcPr>
          <w:p w14:paraId="1E024F3A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14:paraId="59A613F3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қышқылы</w:t>
            </w:r>
            <w:proofErr w:type="spellEnd"/>
          </w:p>
        </w:tc>
        <w:tc>
          <w:tcPr>
            <w:tcW w:w="3969" w:type="dxa"/>
          </w:tcPr>
          <w:p w14:paraId="53582DBD" w14:textId="77777777" w:rsidR="00366147" w:rsidRPr="00F667C8" w:rsidRDefault="00366147" w:rsidP="00696FB2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</w:t>
            </w:r>
            <w:proofErr w:type="spellEnd"/>
          </w:p>
        </w:tc>
        <w:tc>
          <w:tcPr>
            <w:tcW w:w="993" w:type="dxa"/>
          </w:tcPr>
          <w:p w14:paraId="78DF8B0A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134" w:type="dxa"/>
          </w:tcPr>
          <w:p w14:paraId="32E6079A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3DBE7A49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134" w:type="dxa"/>
          </w:tcPr>
          <w:p w14:paraId="4F66061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14:paraId="18050D82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14E3E396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0FB313CA" w14:textId="77777777" w:rsidTr="00696FB2">
        <w:tc>
          <w:tcPr>
            <w:tcW w:w="516" w:type="dxa"/>
          </w:tcPr>
          <w:p w14:paraId="31009D37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14:paraId="7F9C26F6" w14:textId="77777777" w:rsidR="00366147" w:rsidRPr="00F667C8" w:rsidRDefault="00366147" w:rsidP="00696FB2">
            <w:pPr>
              <w:pStyle w:val="2"/>
              <w:ind w:left="0"/>
              <w:rPr>
                <w:sz w:val="24"/>
              </w:rPr>
            </w:pPr>
            <w:proofErr w:type="spellStart"/>
            <w:r w:rsidRPr="00F667C8">
              <w:rPr>
                <w:color w:val="000000"/>
                <w:sz w:val="24"/>
              </w:rPr>
              <w:t>Сутегі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пероксиді</w:t>
            </w:r>
            <w:proofErr w:type="spellEnd"/>
          </w:p>
        </w:tc>
        <w:tc>
          <w:tcPr>
            <w:tcW w:w="3969" w:type="dxa"/>
          </w:tcPr>
          <w:p w14:paraId="248F9F5C" w14:textId="77777777" w:rsidR="00366147" w:rsidRPr="00F667C8" w:rsidRDefault="00366147" w:rsidP="00696FB2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сыртқы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қолдануға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3 %, 100 мл, №1</w:t>
            </w:r>
          </w:p>
        </w:tc>
        <w:tc>
          <w:tcPr>
            <w:tcW w:w="993" w:type="dxa"/>
          </w:tcPr>
          <w:p w14:paraId="34E146C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134" w:type="dxa"/>
          </w:tcPr>
          <w:p w14:paraId="4165A054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72C49466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134" w:type="dxa"/>
          </w:tcPr>
          <w:p w14:paraId="7A7DFDBE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43800</w:t>
            </w:r>
          </w:p>
        </w:tc>
        <w:tc>
          <w:tcPr>
            <w:tcW w:w="2693" w:type="dxa"/>
          </w:tcPr>
          <w:p w14:paraId="4E7C696B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15E51068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4D9DEB75" w14:textId="77777777" w:rsidTr="00696FB2">
        <w:tc>
          <w:tcPr>
            <w:tcW w:w="516" w:type="dxa"/>
          </w:tcPr>
          <w:p w14:paraId="640AF416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14:paraId="1342E9AE" w14:textId="77777777" w:rsidR="00366147" w:rsidRPr="00F667C8" w:rsidRDefault="00366147" w:rsidP="00696FB2">
            <w:pPr>
              <w:pStyle w:val="2"/>
              <w:ind w:left="0"/>
              <w:rPr>
                <w:color w:val="000000"/>
                <w:sz w:val="24"/>
              </w:rPr>
            </w:pPr>
            <w:r w:rsidRPr="00F667C8">
              <w:rPr>
                <w:sz w:val="24"/>
              </w:rPr>
              <w:t xml:space="preserve">Зонд </w:t>
            </w:r>
            <w:proofErr w:type="spellStart"/>
            <w:r w:rsidRPr="00F667C8">
              <w:rPr>
                <w:sz w:val="24"/>
              </w:rPr>
              <w:t>асқазан</w:t>
            </w:r>
            <w:proofErr w:type="spellEnd"/>
            <w:r w:rsidRPr="00F667C8">
              <w:rPr>
                <w:sz w:val="24"/>
              </w:rPr>
              <w:t xml:space="preserve"> </w:t>
            </w:r>
            <w:proofErr w:type="spellStart"/>
            <w:r w:rsidRPr="00F667C8">
              <w:rPr>
                <w:sz w:val="24"/>
              </w:rPr>
              <w:t>мөлшері</w:t>
            </w:r>
            <w:proofErr w:type="spellEnd"/>
            <w:r w:rsidRPr="00F667C8">
              <w:rPr>
                <w:sz w:val="24"/>
              </w:rPr>
              <w:t xml:space="preserve"> СН </w:t>
            </w:r>
            <w:r w:rsidRPr="00F667C8">
              <w:rPr>
                <w:rStyle w:val="s0"/>
                <w:sz w:val="24"/>
              </w:rPr>
              <w:t>28</w:t>
            </w:r>
          </w:p>
        </w:tc>
        <w:tc>
          <w:tcPr>
            <w:tcW w:w="3969" w:type="dxa"/>
          </w:tcPr>
          <w:p w14:paraId="090B6B17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СН 28,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1000 -1100 мм,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стерильді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бір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емдік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немесе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мақсатта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асқазанды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зондтауға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Мызғымас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коды бар.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ПВХ-дан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ұшында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шұңқыр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жабылған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немесе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тесікпен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аяқталады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екі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тесік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161811A6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14:paraId="3469BAF0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735546A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134" w:type="dxa"/>
          </w:tcPr>
          <w:p w14:paraId="33F44E6F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148000</w:t>
            </w:r>
          </w:p>
        </w:tc>
        <w:tc>
          <w:tcPr>
            <w:tcW w:w="2693" w:type="dxa"/>
          </w:tcPr>
          <w:p w14:paraId="3E71CFB1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2F398B33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32D057ED" w14:textId="77777777" w:rsidTr="00696FB2">
        <w:tc>
          <w:tcPr>
            <w:tcW w:w="516" w:type="dxa"/>
          </w:tcPr>
          <w:p w14:paraId="3E5ECFBB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7" w:type="dxa"/>
          </w:tcPr>
          <w:p w14:paraId="565405CF" w14:textId="77777777" w:rsidR="00366147" w:rsidRPr="00F667C8" w:rsidRDefault="00366147" w:rsidP="00696FB2">
            <w:pPr>
              <w:pStyle w:val="2"/>
              <w:ind w:left="0"/>
              <w:rPr>
                <w:sz w:val="24"/>
              </w:rPr>
            </w:pPr>
            <w:r w:rsidRPr="00F667C8">
              <w:rPr>
                <w:sz w:val="24"/>
              </w:rPr>
              <w:t xml:space="preserve">Зонд </w:t>
            </w:r>
            <w:proofErr w:type="spellStart"/>
            <w:r w:rsidRPr="00F667C8">
              <w:rPr>
                <w:sz w:val="24"/>
              </w:rPr>
              <w:t>асқазан</w:t>
            </w:r>
            <w:proofErr w:type="spellEnd"/>
            <w:r w:rsidRPr="00F667C8">
              <w:rPr>
                <w:sz w:val="24"/>
              </w:rPr>
              <w:t xml:space="preserve"> </w:t>
            </w:r>
            <w:proofErr w:type="spellStart"/>
            <w:r w:rsidRPr="00F667C8">
              <w:rPr>
                <w:sz w:val="24"/>
              </w:rPr>
              <w:t>мөлшері</w:t>
            </w:r>
            <w:proofErr w:type="spellEnd"/>
            <w:r w:rsidRPr="00F667C8">
              <w:rPr>
                <w:sz w:val="24"/>
              </w:rPr>
              <w:t xml:space="preserve"> СН 32</w:t>
            </w:r>
          </w:p>
        </w:tc>
        <w:tc>
          <w:tcPr>
            <w:tcW w:w="3969" w:type="dxa"/>
          </w:tcPr>
          <w:p w14:paraId="706FBDF9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СН 32,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1000 -1100 мм,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стерильді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бір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емдік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немесе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мақсатта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асқазанды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зондтауға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Мызғымас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коды бар.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ПВХ-дан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Асқазан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ұшында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шұңқыр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жабылған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немесе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тесікпен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аяқталады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Түтіктің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екі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тесік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09D7E941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14:paraId="3B1C1664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F93C183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134" w:type="dxa"/>
          </w:tcPr>
          <w:p w14:paraId="2273877F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82750</w:t>
            </w:r>
          </w:p>
        </w:tc>
        <w:tc>
          <w:tcPr>
            <w:tcW w:w="2693" w:type="dxa"/>
          </w:tcPr>
          <w:p w14:paraId="4521E2DC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4008F5F4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A86ABB" w14:paraId="50D362AF" w14:textId="77777777" w:rsidTr="00696FB2">
        <w:tc>
          <w:tcPr>
            <w:tcW w:w="516" w:type="dxa"/>
          </w:tcPr>
          <w:p w14:paraId="7DC9E11B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27" w:type="dxa"/>
          </w:tcPr>
          <w:p w14:paraId="44CDC9FC" w14:textId="77777777" w:rsidR="00366147" w:rsidRPr="00F667C8" w:rsidRDefault="00366147" w:rsidP="00696FB2">
            <w:pPr>
              <w:pStyle w:val="2"/>
              <w:ind w:left="0"/>
              <w:rPr>
                <w:sz w:val="24"/>
              </w:rPr>
            </w:pPr>
            <w:r w:rsidRPr="00F667C8">
              <w:rPr>
                <w:color w:val="000000"/>
                <w:sz w:val="24"/>
              </w:rPr>
              <w:t xml:space="preserve">Бір </w:t>
            </w:r>
            <w:proofErr w:type="spellStart"/>
            <w:r w:rsidRPr="00F667C8">
              <w:rPr>
                <w:color w:val="000000"/>
                <w:sz w:val="24"/>
              </w:rPr>
              <w:t>рет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қолданылатын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стерильді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инфузиялық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ұзартқыш</w:t>
            </w:r>
            <w:proofErr w:type="spellEnd"/>
          </w:p>
        </w:tc>
        <w:tc>
          <w:tcPr>
            <w:tcW w:w="3969" w:type="dxa"/>
          </w:tcPr>
          <w:p w14:paraId="25CAA81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Емдеу-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мекемелер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шприц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диспенсерінің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көмегімен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дәрі-дәрмектерді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көктамыр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ішіне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енгізуге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көздерден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инфузиялық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жеңілдетеді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Медициналық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мақсаттағы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ПВХ-дан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мөлдір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түтіктен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номиналды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мм – 1500, 2500,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қысым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0,4 (У1)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қысымнан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6,5 (У2)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қысымнан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аспайды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FLL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ML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қосқышы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Сақтау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бір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A9EF7CE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14:paraId="6F95934B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8408EF1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837,09</w:t>
            </w:r>
          </w:p>
        </w:tc>
        <w:tc>
          <w:tcPr>
            <w:tcW w:w="1134" w:type="dxa"/>
          </w:tcPr>
          <w:p w14:paraId="3FB8A691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16741,8</w:t>
            </w:r>
          </w:p>
        </w:tc>
        <w:tc>
          <w:tcPr>
            <w:tcW w:w="2693" w:type="dxa"/>
          </w:tcPr>
          <w:p w14:paraId="29DADB8C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4C255FA7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66147" w:rsidRPr="00945EA1" w14:paraId="055F4E80" w14:textId="77777777" w:rsidTr="00696FB2">
        <w:tc>
          <w:tcPr>
            <w:tcW w:w="516" w:type="dxa"/>
          </w:tcPr>
          <w:p w14:paraId="587DA552" w14:textId="77777777" w:rsidR="00366147" w:rsidRPr="00F667C8" w:rsidRDefault="00366147" w:rsidP="00696FB2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7" w:type="dxa"/>
          </w:tcPr>
          <w:p w14:paraId="673C1B25" w14:textId="77777777" w:rsidR="00366147" w:rsidRPr="00F667C8" w:rsidRDefault="00366147" w:rsidP="00696FB2">
            <w:pPr>
              <w:pStyle w:val="2"/>
              <w:ind w:left="0"/>
              <w:rPr>
                <w:color w:val="000000"/>
                <w:sz w:val="24"/>
              </w:rPr>
            </w:pPr>
            <w:proofErr w:type="spellStart"/>
            <w:r w:rsidRPr="00F667C8">
              <w:rPr>
                <w:color w:val="000000"/>
                <w:sz w:val="24"/>
              </w:rPr>
              <w:t>Көмір</w:t>
            </w:r>
            <w:proofErr w:type="spellEnd"/>
            <w:r w:rsidRPr="00F667C8">
              <w:rPr>
                <w:color w:val="000000"/>
                <w:sz w:val="24"/>
              </w:rPr>
              <w:t xml:space="preserve"> </w:t>
            </w:r>
            <w:proofErr w:type="spellStart"/>
            <w:r w:rsidRPr="00F667C8">
              <w:rPr>
                <w:color w:val="000000"/>
                <w:sz w:val="24"/>
              </w:rPr>
              <w:t>белсендірілген</w:t>
            </w:r>
            <w:proofErr w:type="spellEnd"/>
            <w:r w:rsidRPr="00F667C8">
              <w:rPr>
                <w:color w:val="000000"/>
                <w:sz w:val="24"/>
              </w:rPr>
              <w:t xml:space="preserve"> Ультра </w:t>
            </w:r>
            <w:proofErr w:type="spellStart"/>
            <w:r w:rsidRPr="00F667C8">
              <w:rPr>
                <w:color w:val="000000"/>
                <w:sz w:val="24"/>
              </w:rPr>
              <w:t>Адсорб</w:t>
            </w:r>
            <w:proofErr w:type="spellEnd"/>
          </w:p>
        </w:tc>
        <w:tc>
          <w:tcPr>
            <w:tcW w:w="3969" w:type="dxa"/>
          </w:tcPr>
          <w:p w14:paraId="07EA4AEA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Таблеткалар</w:t>
            </w:r>
            <w:proofErr w:type="spellEnd"/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0,25 г, № 10</w:t>
            </w:r>
          </w:p>
        </w:tc>
        <w:tc>
          <w:tcPr>
            <w:tcW w:w="993" w:type="dxa"/>
          </w:tcPr>
          <w:p w14:paraId="424898C6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134" w:type="dxa"/>
          </w:tcPr>
          <w:p w14:paraId="7619AC62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51F71E3E" w14:textId="77777777" w:rsidR="00366147" w:rsidRPr="00F667C8" w:rsidRDefault="00366147" w:rsidP="0069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134" w:type="dxa"/>
          </w:tcPr>
          <w:p w14:paraId="10500712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2693" w:type="dxa"/>
          </w:tcPr>
          <w:p w14:paraId="692BE925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бойынша 15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549C25B4" w14:textId="77777777" w:rsidR="00366147" w:rsidRPr="00F667C8" w:rsidRDefault="00366147" w:rsidP="006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F66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33ADC94C" w14:textId="77777777" w:rsidR="00366147" w:rsidRPr="007A2D1D" w:rsidRDefault="00366147" w:rsidP="007A2D1D"/>
    <w:sectPr w:rsidR="00366147" w:rsidRPr="007A2D1D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0F140A"/>
    <w:rsid w:val="00145403"/>
    <w:rsid w:val="00166345"/>
    <w:rsid w:val="00215532"/>
    <w:rsid w:val="00246A22"/>
    <w:rsid w:val="002B4D3F"/>
    <w:rsid w:val="002D7084"/>
    <w:rsid w:val="0030425F"/>
    <w:rsid w:val="0034236F"/>
    <w:rsid w:val="00356970"/>
    <w:rsid w:val="00357045"/>
    <w:rsid w:val="00366147"/>
    <w:rsid w:val="003703CF"/>
    <w:rsid w:val="003C0090"/>
    <w:rsid w:val="003F4D0C"/>
    <w:rsid w:val="004676BD"/>
    <w:rsid w:val="004D094F"/>
    <w:rsid w:val="004F0CC3"/>
    <w:rsid w:val="00530DC4"/>
    <w:rsid w:val="00534501"/>
    <w:rsid w:val="005510CC"/>
    <w:rsid w:val="0055324D"/>
    <w:rsid w:val="0057500E"/>
    <w:rsid w:val="0058480E"/>
    <w:rsid w:val="005B49E0"/>
    <w:rsid w:val="006610CF"/>
    <w:rsid w:val="00684341"/>
    <w:rsid w:val="00697521"/>
    <w:rsid w:val="006D76BE"/>
    <w:rsid w:val="006E11DA"/>
    <w:rsid w:val="006E79E3"/>
    <w:rsid w:val="006F501D"/>
    <w:rsid w:val="00721270"/>
    <w:rsid w:val="00721897"/>
    <w:rsid w:val="00764ABC"/>
    <w:rsid w:val="007A2D1D"/>
    <w:rsid w:val="007A5BC3"/>
    <w:rsid w:val="007B5176"/>
    <w:rsid w:val="0082534B"/>
    <w:rsid w:val="00863886"/>
    <w:rsid w:val="0088199E"/>
    <w:rsid w:val="008C300D"/>
    <w:rsid w:val="008C462B"/>
    <w:rsid w:val="00933909"/>
    <w:rsid w:val="009947B5"/>
    <w:rsid w:val="009E24F4"/>
    <w:rsid w:val="00A07B3F"/>
    <w:rsid w:val="00A31701"/>
    <w:rsid w:val="00A8503B"/>
    <w:rsid w:val="00B33C7F"/>
    <w:rsid w:val="00B533FA"/>
    <w:rsid w:val="00B97D1C"/>
    <w:rsid w:val="00BB4C66"/>
    <w:rsid w:val="00C6444A"/>
    <w:rsid w:val="00C7555F"/>
    <w:rsid w:val="00C83437"/>
    <w:rsid w:val="00C865A9"/>
    <w:rsid w:val="00C87109"/>
    <w:rsid w:val="00C965C5"/>
    <w:rsid w:val="00CA7817"/>
    <w:rsid w:val="00CE3623"/>
    <w:rsid w:val="00CF57CA"/>
    <w:rsid w:val="00D60A0D"/>
    <w:rsid w:val="00DA5653"/>
    <w:rsid w:val="00E10291"/>
    <w:rsid w:val="00E324B8"/>
    <w:rsid w:val="00E8168D"/>
    <w:rsid w:val="00ED24E5"/>
    <w:rsid w:val="00F04629"/>
    <w:rsid w:val="00F41A7A"/>
    <w:rsid w:val="00F571FB"/>
    <w:rsid w:val="00F71D4D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DA5653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653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2024-09-24T04:11:00Z</dcterms:created>
  <dcterms:modified xsi:type="dcterms:W3CDTF">2024-09-24T04:11:00Z</dcterms:modified>
</cp:coreProperties>
</file>